
<file path=[Content_Types].xml><?xml version="1.0" encoding="utf-8"?>
<Types xmlns="http://schemas.openxmlformats.org/package/2006/content-types">
  <Default Extension="emf" ContentType="image/x-em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B05195" w:rsidP="00B05195" w:rsidRDefault="00B05195" w14:paraId="3316D452" w14:textId="77777777">
      <w:pPr>
        <w:spacing w:line="276" w:lineRule="auto"/>
        <w:rPr>
          <w:rFonts w:ascii="Arial" w:hAnsi="Arial" w:eastAsia="Times New Roman" w:cs="Arial"/>
          <w:color w:val="1D2228"/>
          <w:sz w:val="20"/>
          <w:szCs w:val="20"/>
        </w:rPr>
      </w:pPr>
    </w:p>
    <w:p w:rsidRPr="006167E1" w:rsidR="00B05195" w:rsidP="006167E1" w:rsidRDefault="006167E1" w14:paraId="21F2116A" w14:textId="54FAD721">
      <w:pPr>
        <w:spacing w:line="276" w:lineRule="auto"/>
        <w:jc w:val="center"/>
        <w:rPr>
          <w:rFonts w:ascii="Arial" w:hAnsi="Arial" w:eastAsia="Times New Roman" w:cs="Arial"/>
          <w:color w:val="1D2228"/>
          <w:sz w:val="44"/>
          <w:szCs w:val="44"/>
        </w:rPr>
      </w:pPr>
      <w:r>
        <w:rPr>
          <w:rFonts w:ascii="Arial" w:hAnsi="Arial" w:eastAsia="Times New Roman" w:cs="Arial"/>
          <w:color w:val="1D2228"/>
          <w:sz w:val="44"/>
          <w:szCs w:val="44"/>
        </w:rPr>
        <w:t>Office Memorandum</w:t>
      </w:r>
    </w:p>
    <w:p w:rsidR="00B05195" w:rsidP="00B05195" w:rsidRDefault="00B05195" w14:paraId="40B37F2F" w14:textId="77777777">
      <w:pPr>
        <w:spacing w:line="276" w:lineRule="auto"/>
        <w:rPr>
          <w:rFonts w:ascii="Arial" w:hAnsi="Arial" w:eastAsia="Times New Roman" w:cs="Arial"/>
          <w:color w:val="1D2228"/>
          <w:sz w:val="20"/>
          <w:szCs w:val="20"/>
        </w:rPr>
      </w:pPr>
    </w:p>
    <w:p w:rsidR="00B05195" w:rsidP="006167E1" w:rsidRDefault="006167E1" w14:paraId="4643DBEE" w14:textId="35BD9408">
      <w:pPr>
        <w:tabs>
          <w:tab w:val="left" w:pos="900"/>
        </w:tabs>
        <w:spacing w:line="276" w:lineRule="auto"/>
        <w:rPr>
          <w:rFonts w:ascii="Arial" w:hAnsi="Arial" w:eastAsia="Times New Roman" w:cs="Arial"/>
          <w:color w:val="1D2228"/>
          <w:sz w:val="20"/>
          <w:szCs w:val="20"/>
        </w:rPr>
      </w:pPr>
      <w:r>
        <w:rPr>
          <w:rFonts w:ascii="Arial" w:hAnsi="Arial" w:eastAsia="Times New Roman" w:cs="Arial"/>
          <w:color w:val="1D2228"/>
          <w:sz w:val="20"/>
          <w:szCs w:val="20"/>
        </w:rPr>
        <w:t>Date:</w:t>
      </w:r>
      <w:r>
        <w:rPr>
          <w:rFonts w:ascii="Arial" w:hAnsi="Arial" w:eastAsia="Times New Roman" w:cs="Arial"/>
          <w:color w:val="1D2228"/>
          <w:sz w:val="20"/>
          <w:szCs w:val="20"/>
        </w:rPr>
        <w:tab/>
      </w:r>
      <w:r w:rsidR="00D91C19">
        <w:rPr>
          <w:rFonts w:ascii="Arial" w:hAnsi="Arial" w:eastAsia="Times New Roman" w:cs="Arial"/>
          <w:color w:val="1D2228"/>
          <w:sz w:val="20"/>
          <w:szCs w:val="20"/>
        </w:rPr>
        <w:t xml:space="preserve">July </w:t>
      </w:r>
      <w:r w:rsidR="00F220B9">
        <w:rPr>
          <w:rFonts w:ascii="Arial" w:hAnsi="Arial" w:eastAsia="Times New Roman" w:cs="Arial"/>
          <w:color w:val="1D2228"/>
          <w:sz w:val="20"/>
          <w:szCs w:val="20"/>
        </w:rPr>
        <w:t>2</w:t>
      </w:r>
      <w:r>
        <w:rPr>
          <w:rFonts w:ascii="Arial" w:hAnsi="Arial" w:eastAsia="Times New Roman" w:cs="Arial"/>
          <w:color w:val="1D2228"/>
          <w:sz w:val="20"/>
          <w:szCs w:val="20"/>
        </w:rPr>
        <w:t>, 2024</w:t>
      </w:r>
    </w:p>
    <w:p w:rsidR="006167E1" w:rsidP="006167E1" w:rsidRDefault="006167E1" w14:paraId="7233C6FB" w14:textId="476586E4">
      <w:pPr>
        <w:tabs>
          <w:tab w:val="left" w:pos="900"/>
        </w:tabs>
        <w:spacing w:line="276" w:lineRule="auto"/>
        <w:rPr>
          <w:rFonts w:ascii="Arial" w:hAnsi="Arial" w:eastAsia="Times New Roman" w:cs="Arial"/>
          <w:color w:val="1D2228"/>
          <w:sz w:val="20"/>
          <w:szCs w:val="20"/>
        </w:rPr>
      </w:pPr>
    </w:p>
    <w:p w:rsidR="006167E1" w:rsidP="006167E1" w:rsidRDefault="006167E1" w14:paraId="1CF4AE79" w14:textId="00BAA66A">
      <w:pPr>
        <w:tabs>
          <w:tab w:val="left" w:pos="900"/>
        </w:tabs>
        <w:spacing w:line="276" w:lineRule="auto"/>
        <w:rPr>
          <w:rFonts w:ascii="Arial" w:hAnsi="Arial" w:eastAsia="Times New Roman" w:cs="Arial"/>
          <w:color w:val="1D2228"/>
          <w:sz w:val="20"/>
          <w:szCs w:val="20"/>
        </w:rPr>
      </w:pPr>
      <w:r>
        <w:rPr>
          <w:rFonts w:ascii="Arial" w:hAnsi="Arial" w:eastAsia="Times New Roman" w:cs="Arial"/>
          <w:color w:val="1D2228"/>
          <w:sz w:val="20"/>
          <w:szCs w:val="20"/>
        </w:rPr>
        <w:t>To:</w:t>
      </w:r>
      <w:r>
        <w:rPr>
          <w:rFonts w:ascii="Arial" w:hAnsi="Arial" w:eastAsia="Times New Roman" w:cs="Arial"/>
          <w:color w:val="1D2228"/>
          <w:sz w:val="20"/>
          <w:szCs w:val="20"/>
        </w:rPr>
        <w:tab/>
        <w:t>File</w:t>
      </w:r>
    </w:p>
    <w:p w:rsidR="006167E1" w:rsidP="006167E1" w:rsidRDefault="006167E1" w14:paraId="138EE8C8" w14:textId="6C8503F1">
      <w:pPr>
        <w:tabs>
          <w:tab w:val="left" w:pos="900"/>
        </w:tabs>
        <w:spacing w:line="276" w:lineRule="auto"/>
        <w:rPr>
          <w:rFonts w:ascii="Arial" w:hAnsi="Arial" w:eastAsia="Times New Roman" w:cs="Arial"/>
          <w:color w:val="1D2228"/>
          <w:sz w:val="20"/>
          <w:szCs w:val="20"/>
        </w:rPr>
      </w:pPr>
    </w:p>
    <w:p w:rsidR="006167E1" w:rsidP="006167E1" w:rsidRDefault="006167E1" w14:paraId="45F51E3D" w14:textId="52BB4828">
      <w:pPr>
        <w:tabs>
          <w:tab w:val="left" w:pos="900"/>
        </w:tabs>
        <w:spacing w:line="276" w:lineRule="auto"/>
        <w:rPr>
          <w:rFonts w:ascii="Arial" w:hAnsi="Arial" w:eastAsia="Times New Roman" w:cs="Arial"/>
          <w:color w:val="1D2228"/>
          <w:sz w:val="20"/>
          <w:szCs w:val="20"/>
        </w:rPr>
      </w:pPr>
      <w:r>
        <w:rPr>
          <w:rFonts w:ascii="Arial" w:hAnsi="Arial" w:eastAsia="Times New Roman" w:cs="Arial"/>
          <w:color w:val="1D2228"/>
          <w:sz w:val="20"/>
          <w:szCs w:val="20"/>
        </w:rPr>
        <w:t>From:</w:t>
      </w:r>
      <w:r>
        <w:rPr>
          <w:rFonts w:ascii="Arial" w:hAnsi="Arial" w:eastAsia="Times New Roman" w:cs="Arial"/>
          <w:color w:val="1D2228"/>
          <w:sz w:val="20"/>
          <w:szCs w:val="20"/>
        </w:rPr>
        <w:tab/>
        <w:t>Amy L. Zapletal. P.E.</w:t>
      </w:r>
    </w:p>
    <w:p w:rsidR="006167E1" w:rsidP="006167E1" w:rsidRDefault="006167E1" w14:paraId="75CC0982" w14:textId="2F95BE68">
      <w:pPr>
        <w:tabs>
          <w:tab w:val="left" w:pos="900"/>
        </w:tabs>
        <w:spacing w:line="276" w:lineRule="auto"/>
        <w:rPr>
          <w:rFonts w:ascii="Arial" w:hAnsi="Arial" w:eastAsia="Times New Roman" w:cs="Arial"/>
          <w:color w:val="1D2228"/>
          <w:sz w:val="20"/>
          <w:szCs w:val="20"/>
        </w:rPr>
      </w:pPr>
    </w:p>
    <w:p w:rsidRPr="006167E1" w:rsidR="006167E1" w:rsidP="006167E1" w:rsidRDefault="006167E1" w14:paraId="1EB67120" w14:textId="3675C3B1">
      <w:pPr>
        <w:tabs>
          <w:tab w:val="left" w:pos="900"/>
        </w:tabs>
        <w:spacing w:line="276" w:lineRule="auto"/>
        <w:ind w:left="900" w:hanging="900"/>
        <w:rPr>
          <w:rFonts w:ascii="Arial" w:hAnsi="Arial" w:eastAsia="Times New Roman" w:cs="Arial"/>
          <w:color w:val="1D2228"/>
          <w:sz w:val="20"/>
          <w:szCs w:val="20"/>
        </w:rPr>
      </w:pPr>
      <w:r w:rsidRPr="006167E1">
        <w:rPr>
          <w:rFonts w:ascii="Arial" w:hAnsi="Arial" w:eastAsia="Times New Roman" w:cs="Arial"/>
          <w:color w:val="1D2228"/>
          <w:sz w:val="20"/>
          <w:szCs w:val="20"/>
        </w:rPr>
        <w:t>Subject:</w:t>
      </w:r>
      <w:r w:rsidRPr="006167E1">
        <w:rPr>
          <w:rFonts w:ascii="Arial" w:hAnsi="Arial" w:eastAsia="Times New Roman" w:cs="Arial"/>
          <w:color w:val="1D2228"/>
          <w:sz w:val="20"/>
          <w:szCs w:val="20"/>
        </w:rPr>
        <w:tab/>
      </w:r>
      <w:r w:rsidRPr="006167E1">
        <w:rPr>
          <w:rFonts w:ascii="Arial" w:hAnsi="Arial" w:cs="Arial"/>
          <w:sz w:val="20"/>
          <w:szCs w:val="20"/>
        </w:rPr>
        <w:t>Alternative Routes Evaluation: Reiter Switch – Tesoro Switch 345 kV Transmission Line Project</w:t>
      </w:r>
    </w:p>
    <w:p w:rsidR="00B05195" w:rsidP="00B05195" w:rsidRDefault="0078085B" w14:paraId="34591FD0" w14:textId="7A907F97">
      <w:pPr>
        <w:spacing w:line="276" w:lineRule="auto"/>
        <w:rPr>
          <w:rFonts w:ascii="Helvetica Neue" w:hAnsi="Helvetica Neue" w:eastAsia="Times New Roman" w:cs="Times New Roman"/>
          <w:color w:val="1D2228"/>
          <w:sz w:val="20"/>
          <w:szCs w:val="20"/>
        </w:rPr>
      </w:pPr>
      <w:r>
        <w:rPr>
          <w:rFonts w:ascii="Helvetica Neue" w:hAnsi="Helvetica Neue" w:eastAsia="Times New Roman" w:cs="Times New Roman"/>
          <w:color w:val="1D2228"/>
          <w:sz w:val="20"/>
          <w:szCs w:val="20"/>
        </w:rPr>
        <w:pict w14:anchorId="49468257">
          <v:rect id="_x0000_i1025" style="width:468pt;height:1.5pt" o:hr="t" o:hrstd="t" o:hrnoshade="t" o:hralign="center" fillcolor="black [3213]" stroked="f"/>
        </w:pict>
      </w:r>
    </w:p>
    <w:p w:rsidRPr="008202CA" w:rsidR="006167E1" w:rsidP="008202CA" w:rsidRDefault="006167E1" w14:paraId="60F79CE8" w14:textId="77777777">
      <w:pPr>
        <w:spacing w:line="276" w:lineRule="auto"/>
        <w:jc w:val="both"/>
        <w:rPr>
          <w:rFonts w:ascii="Arial" w:hAnsi="Arial" w:cs="Arial"/>
          <w:sz w:val="20"/>
          <w:szCs w:val="20"/>
        </w:rPr>
      </w:pPr>
      <w:r w:rsidRPr="008202CA">
        <w:rPr>
          <w:rFonts w:ascii="Arial" w:hAnsi="Arial" w:cs="Arial"/>
          <w:sz w:val="20"/>
          <w:szCs w:val="20"/>
        </w:rPr>
        <w:t xml:space="preserve">This memorandum discusses my evaluation of routing alternatives for Oncor Electric Delivery Company LLC’s (“Oncor’s”) proposed Reiter Switch – Tesoro Switch 345 kV Transmission Line Project (“Proposed Transmission Line Project”).  In addition to the recommendation for a route that best meets the requirements of the Texas Utilities Code and the Substantive Rules of the Public Utility Commission of Texas (“Commission”), I also selected alternative routes to be filed with the CCN Application.  </w:t>
      </w:r>
    </w:p>
    <w:p w:rsidRPr="008202CA" w:rsidR="006167E1" w:rsidP="008202CA" w:rsidRDefault="006167E1" w14:paraId="164B61BA" w14:textId="77777777">
      <w:pPr>
        <w:spacing w:line="276" w:lineRule="auto"/>
        <w:jc w:val="both"/>
        <w:rPr>
          <w:rFonts w:ascii="Arial" w:hAnsi="Arial" w:cs="Arial"/>
          <w:sz w:val="20"/>
          <w:szCs w:val="20"/>
        </w:rPr>
      </w:pPr>
    </w:p>
    <w:p w:rsidRPr="008202CA" w:rsidR="006167E1" w:rsidP="008202CA" w:rsidRDefault="006167E1" w14:paraId="64F0D032" w14:textId="77777777">
      <w:pPr>
        <w:spacing w:line="276" w:lineRule="auto"/>
        <w:jc w:val="both"/>
        <w:rPr>
          <w:rFonts w:ascii="Arial" w:hAnsi="Arial" w:cs="Arial"/>
          <w:sz w:val="20"/>
          <w:szCs w:val="20"/>
        </w:rPr>
      </w:pPr>
      <w:r w:rsidRPr="008202CA">
        <w:rPr>
          <w:rFonts w:ascii="Arial" w:hAnsi="Arial" w:cs="Arial"/>
          <w:b/>
          <w:bCs/>
          <w:sz w:val="20"/>
          <w:szCs w:val="20"/>
          <w:u w:val="single"/>
        </w:rPr>
        <w:t>Background</w:t>
      </w:r>
    </w:p>
    <w:p w:rsidRPr="008202CA" w:rsidR="006167E1" w:rsidP="008202CA" w:rsidRDefault="006167E1" w14:paraId="056FEDC7" w14:textId="77777777">
      <w:pPr>
        <w:spacing w:line="276" w:lineRule="auto"/>
        <w:jc w:val="both"/>
        <w:rPr>
          <w:rFonts w:ascii="Arial" w:hAnsi="Arial" w:cs="Arial"/>
          <w:sz w:val="20"/>
          <w:szCs w:val="20"/>
        </w:rPr>
      </w:pPr>
    </w:p>
    <w:p w:rsidRPr="008202CA" w:rsidR="006167E1" w:rsidP="008202CA" w:rsidRDefault="006167E1" w14:paraId="32019614" w14:textId="77777777">
      <w:pPr>
        <w:spacing w:line="276" w:lineRule="auto"/>
        <w:jc w:val="both"/>
        <w:rPr>
          <w:rFonts w:ascii="Arial" w:hAnsi="Arial" w:cs="Arial"/>
          <w:sz w:val="20"/>
          <w:szCs w:val="20"/>
        </w:rPr>
      </w:pPr>
      <w:r w:rsidRPr="008202CA">
        <w:rPr>
          <w:rFonts w:ascii="Arial" w:hAnsi="Arial" w:cs="Arial"/>
          <w:sz w:val="20"/>
          <w:szCs w:val="20"/>
        </w:rPr>
        <w:t xml:space="preserve">The goal of this route evaluation process is to provide the Commission with an adequate number of alternative routes to conduct a proper evaluation.  These alternative routes provide good geographic diversity while complying with Section 37.056(c)(4)(A)-(D) of the Texas Utilities Code, Commission Procedural Rule 22.52(a)(4), and Commission Substantive Rule 25.101(b)(3)(B), including the Commission’s policy of prudent avoidance.  </w:t>
      </w:r>
    </w:p>
    <w:p w:rsidRPr="008202CA" w:rsidR="006167E1" w:rsidP="008202CA" w:rsidRDefault="006167E1" w14:paraId="01E74C3F" w14:textId="77777777">
      <w:pPr>
        <w:spacing w:line="276" w:lineRule="auto"/>
        <w:jc w:val="both"/>
        <w:rPr>
          <w:rFonts w:ascii="Arial" w:hAnsi="Arial" w:cs="Arial"/>
          <w:sz w:val="20"/>
          <w:szCs w:val="20"/>
        </w:rPr>
      </w:pPr>
    </w:p>
    <w:p w:rsidRPr="008202CA" w:rsidR="006167E1" w:rsidP="008202CA" w:rsidRDefault="006167E1" w14:paraId="2164AB3C" w14:textId="12C78809">
      <w:pPr>
        <w:spacing w:line="276" w:lineRule="auto"/>
        <w:jc w:val="both"/>
        <w:rPr>
          <w:rFonts w:ascii="Arial" w:hAnsi="Arial" w:cs="Arial"/>
          <w:sz w:val="20"/>
          <w:szCs w:val="20"/>
        </w:rPr>
      </w:pPr>
      <w:r w:rsidRPr="008202CA">
        <w:rPr>
          <w:rFonts w:ascii="Arial" w:hAnsi="Arial" w:cs="Arial"/>
          <w:sz w:val="20"/>
          <w:szCs w:val="20"/>
        </w:rPr>
        <w:t xml:space="preserve">The alternative route selections are based on my: (1) reconnaissance and observations of the project area; (2) independent review of the data included in the </w:t>
      </w:r>
      <w:r w:rsidRPr="008202CA">
        <w:rPr>
          <w:rFonts w:ascii="Arial" w:hAnsi="Arial" w:cs="Arial"/>
          <w:i/>
          <w:sz w:val="20"/>
          <w:szCs w:val="20"/>
        </w:rPr>
        <w:t>Environmental Assessment and Alternative Route Analysis for Oncor Electric Delivery Company LLC’s Proposed Reiter Switch – Tesoro Switch 345 kV Transmission Line Project in Ector and Midland Counties, Texas</w:t>
      </w:r>
      <w:r w:rsidRPr="008202CA">
        <w:rPr>
          <w:rFonts w:ascii="Arial" w:hAnsi="Arial" w:cs="Arial"/>
          <w:sz w:val="20"/>
          <w:szCs w:val="20"/>
        </w:rPr>
        <w:t xml:space="preserve"> (“Environmental Assessment and Routing Study”), prepared by Halff</w:t>
      </w:r>
      <w:r w:rsidR="00181292">
        <w:rPr>
          <w:rFonts w:ascii="Arial" w:hAnsi="Arial" w:cs="Arial"/>
          <w:sz w:val="20"/>
          <w:szCs w:val="20"/>
        </w:rPr>
        <w:t xml:space="preserve"> Associates</w:t>
      </w:r>
      <w:r w:rsidRPr="008202CA">
        <w:rPr>
          <w:rFonts w:ascii="Arial" w:hAnsi="Arial" w:cs="Arial"/>
          <w:sz w:val="20"/>
          <w:szCs w:val="20"/>
        </w:rPr>
        <w:t xml:space="preserve">, Inc. (“Halff”); (3) discussions with Halff personnel; (4) discussions with Oncor personnel; and (5) other information.  My recommendation incorporates consideration of information in the Environmental Assessment and Routing Study, engineering feasibility, the estimated cost of alternative routes, and construction limitations.  </w:t>
      </w:r>
    </w:p>
    <w:p w:rsidRPr="008202CA" w:rsidR="006167E1" w:rsidP="008202CA" w:rsidRDefault="006167E1" w14:paraId="2E09E5EE" w14:textId="77777777">
      <w:pPr>
        <w:spacing w:line="276" w:lineRule="auto"/>
        <w:jc w:val="both"/>
        <w:rPr>
          <w:rFonts w:ascii="Arial" w:hAnsi="Arial" w:cs="Arial"/>
          <w:sz w:val="20"/>
          <w:szCs w:val="20"/>
        </w:rPr>
      </w:pPr>
    </w:p>
    <w:p w:rsidRPr="008202CA" w:rsidR="006167E1" w:rsidP="008202CA" w:rsidRDefault="006167E1" w14:paraId="4CC6B0BB" w14:textId="77777777">
      <w:pPr>
        <w:spacing w:line="276" w:lineRule="auto"/>
        <w:jc w:val="both"/>
        <w:rPr>
          <w:rFonts w:ascii="Arial" w:hAnsi="Arial" w:cs="Arial"/>
          <w:b/>
          <w:bCs/>
          <w:sz w:val="20"/>
          <w:szCs w:val="20"/>
          <w:u w:val="single"/>
        </w:rPr>
      </w:pPr>
      <w:r w:rsidRPr="008202CA">
        <w:rPr>
          <w:rFonts w:ascii="Arial" w:hAnsi="Arial" w:cs="Arial"/>
          <w:b/>
          <w:bCs/>
          <w:sz w:val="20"/>
          <w:szCs w:val="20"/>
          <w:u w:val="single"/>
        </w:rPr>
        <w:t>Development of Alternative Route Links</w:t>
      </w:r>
    </w:p>
    <w:p w:rsidRPr="008202CA" w:rsidR="008202CA" w:rsidP="008202CA" w:rsidRDefault="008202CA" w14:paraId="57C6FD89" w14:textId="77777777">
      <w:pPr>
        <w:spacing w:line="276" w:lineRule="auto"/>
        <w:jc w:val="both"/>
        <w:rPr>
          <w:rFonts w:ascii="Arial" w:hAnsi="Arial" w:cs="Arial"/>
          <w:sz w:val="20"/>
          <w:szCs w:val="20"/>
        </w:rPr>
      </w:pPr>
    </w:p>
    <w:p w:rsidRPr="008202CA" w:rsidR="006167E1" w:rsidP="008202CA" w:rsidRDefault="006167E1" w14:paraId="505E8400" w14:textId="49763B1F">
      <w:pPr>
        <w:spacing w:line="276" w:lineRule="auto"/>
        <w:jc w:val="both"/>
        <w:rPr>
          <w:rFonts w:ascii="Arial" w:hAnsi="Arial" w:cs="Arial"/>
          <w:sz w:val="20"/>
          <w:szCs w:val="20"/>
        </w:rPr>
      </w:pPr>
      <w:r w:rsidRPr="008202CA">
        <w:rPr>
          <w:rFonts w:ascii="Arial" w:hAnsi="Arial" w:cs="Arial"/>
          <w:sz w:val="20"/>
          <w:szCs w:val="20"/>
        </w:rPr>
        <w:t>Halff documented its efforts to identify potential preliminary alternative routes for the Proposed Transmission Line Project in Section 4.0 of the Environmental Assessment and Routing Study.  After completing the initial data gathering and constraints mapping process, Halff</w:t>
      </w:r>
      <w:r w:rsidRPr="008202CA">
        <w:rPr>
          <w:rFonts w:ascii="Arial" w:hAnsi="Arial" w:cs="Arial"/>
          <w:color w:val="FF0000"/>
          <w:sz w:val="20"/>
          <w:szCs w:val="20"/>
        </w:rPr>
        <w:t xml:space="preserve"> </w:t>
      </w:r>
      <w:r w:rsidRPr="008202CA">
        <w:rPr>
          <w:rFonts w:ascii="Arial" w:hAnsi="Arial" w:cs="Arial"/>
          <w:sz w:val="20"/>
          <w:szCs w:val="20"/>
        </w:rPr>
        <w:t xml:space="preserve">identified preliminary alternative route links on recent aerial photography obtained from NearMap (available through Halff’s subscription service).  These preliminary alternative route links were selected considering the location of existing corridors, apparent property boundaries and routing constraints.  Some of the routing constraints within the study area include: (1) oil and gas facilities; (2) existing transmission lines; (3) State Highway </w:t>
      </w:r>
      <w:r w:rsidRPr="008202CA">
        <w:rPr>
          <w:rFonts w:ascii="Arial" w:hAnsi="Arial" w:cs="Arial"/>
          <w:sz w:val="20"/>
          <w:szCs w:val="20"/>
        </w:rPr>
        <w:lastRenderedPageBreak/>
        <w:t>(“SH”) Loop 338 and other state-maintained roadways where 90-degree</w:t>
      </w:r>
      <w:r w:rsidRPr="008202CA">
        <w:rPr>
          <w:rFonts w:ascii="Arial" w:hAnsi="Arial" w:cs="Arial"/>
          <w:sz w:val="20"/>
          <w:szCs w:val="20"/>
          <w:vertAlign w:val="superscript"/>
        </w:rPr>
        <w:t xml:space="preserve"> </w:t>
      </w:r>
      <w:r w:rsidRPr="008202CA">
        <w:rPr>
          <w:rFonts w:ascii="Arial" w:hAnsi="Arial" w:cs="Arial"/>
          <w:sz w:val="20"/>
          <w:szCs w:val="20"/>
        </w:rPr>
        <w:t xml:space="preserve">roadway crossings by transmission lines are typically required by the Texas Department of Transportation; (4) residential development; and (5) commercial and industrial development.  Numerous preliminary alternative route links were identified by Halff that, when combined, formed numerous preliminary alternative routes to connect Oncor’s proposed Reiter Switch 345 kV switchyard to its existing Tesoro Switch.  The preliminary alternative route links evaluated by Halff are depicted in Figure 3-1 (Appendix D) in the Environmental Assessment and Routing Study.  </w:t>
      </w:r>
    </w:p>
    <w:p w:rsidRPr="008202CA" w:rsidR="006167E1" w:rsidP="008202CA" w:rsidRDefault="006167E1" w14:paraId="54FAD1BC" w14:textId="77777777">
      <w:pPr>
        <w:spacing w:line="276" w:lineRule="auto"/>
        <w:jc w:val="both"/>
        <w:rPr>
          <w:rFonts w:ascii="Arial" w:hAnsi="Arial" w:cs="Arial"/>
          <w:sz w:val="20"/>
          <w:szCs w:val="20"/>
        </w:rPr>
      </w:pPr>
    </w:p>
    <w:p w:rsidR="006167E1" w:rsidP="005D27B0" w:rsidRDefault="006167E1" w14:paraId="656E67FF" w14:textId="0BBBBC03">
      <w:pPr>
        <w:spacing w:line="276" w:lineRule="auto"/>
        <w:jc w:val="both"/>
        <w:rPr>
          <w:rFonts w:ascii="Arial" w:hAnsi="Arial" w:cs="Arial"/>
          <w:sz w:val="20"/>
          <w:szCs w:val="20"/>
        </w:rPr>
      </w:pPr>
      <w:r w:rsidRPr="008202CA">
        <w:rPr>
          <w:rFonts w:ascii="Arial" w:hAnsi="Arial" w:cs="Arial"/>
          <w:sz w:val="20"/>
          <w:szCs w:val="20"/>
        </w:rPr>
        <w:t xml:space="preserve">The Proposed Transmission Line Project, including both endpoints, traverses property owned by seven (7) landowners, including Oncor.  Oncor did not hold public meetings because the prerequisites for public meetings under 16 TAC § 22.52 were not met.  </w:t>
      </w:r>
      <w:r w:rsidRPr="008202CA" w:rsidR="004C169D">
        <w:rPr>
          <w:rFonts w:ascii="Arial" w:hAnsi="Arial" w:cs="Arial"/>
          <w:sz w:val="20"/>
          <w:szCs w:val="20"/>
        </w:rPr>
        <w:t>Therefore, the preliminary alternative route links were final</w:t>
      </w:r>
      <w:r w:rsidR="004C169D">
        <w:rPr>
          <w:rFonts w:ascii="Arial" w:hAnsi="Arial" w:cs="Arial"/>
          <w:sz w:val="20"/>
          <w:szCs w:val="20"/>
        </w:rPr>
        <w:t xml:space="preserve">ized after </w:t>
      </w:r>
      <w:r w:rsidRPr="005D27B0" w:rsidR="005D27B0">
        <w:rPr>
          <w:rFonts w:ascii="Arial" w:hAnsi="Arial" w:cs="Arial"/>
          <w:sz w:val="20"/>
          <w:szCs w:val="20"/>
        </w:rPr>
        <w:t xml:space="preserve">incorporating the </w:t>
      </w:r>
      <w:r w:rsidR="004C169D">
        <w:rPr>
          <w:rFonts w:ascii="Arial" w:hAnsi="Arial" w:cs="Arial"/>
          <w:sz w:val="20"/>
          <w:szCs w:val="20"/>
        </w:rPr>
        <w:t xml:space="preserve">findings of  </w:t>
      </w:r>
      <w:r w:rsidRPr="004C169D" w:rsidR="004C169D">
        <w:rPr>
          <w:rFonts w:ascii="Arial" w:hAnsi="Arial" w:cs="Arial"/>
          <w:sz w:val="20"/>
          <w:szCs w:val="20"/>
        </w:rPr>
        <w:t>field reconnaissance by Halff and Oncor and data received from landowners</w:t>
      </w:r>
      <w:r w:rsidR="004C169D">
        <w:rPr>
          <w:rFonts w:ascii="Arial" w:hAnsi="Arial" w:cs="Arial"/>
          <w:sz w:val="20"/>
          <w:szCs w:val="20"/>
        </w:rPr>
        <w:t>.  These route links</w:t>
      </w:r>
      <w:r w:rsidRPr="004C169D" w:rsidR="004C169D">
        <w:rPr>
          <w:rFonts w:ascii="Arial" w:hAnsi="Arial" w:cs="Arial"/>
          <w:sz w:val="20"/>
          <w:szCs w:val="20"/>
        </w:rPr>
        <w:t xml:space="preserve"> </w:t>
      </w:r>
      <w:r w:rsidRPr="008202CA" w:rsidR="004C169D">
        <w:rPr>
          <w:rFonts w:ascii="Arial" w:hAnsi="Arial" w:cs="Arial"/>
          <w:sz w:val="20"/>
          <w:szCs w:val="20"/>
        </w:rPr>
        <w:t>are discussed in Section 4.0 of the Environmental Assessment and Routing Study</w:t>
      </w:r>
      <w:r w:rsidR="004C169D">
        <w:rPr>
          <w:rFonts w:ascii="Arial" w:hAnsi="Arial" w:cs="Arial"/>
          <w:sz w:val="20"/>
          <w:szCs w:val="20"/>
        </w:rPr>
        <w:t>.</w:t>
      </w:r>
    </w:p>
    <w:p w:rsidRPr="008202CA" w:rsidR="004C169D" w:rsidP="008202CA" w:rsidRDefault="004C169D" w14:paraId="32F3787C" w14:textId="77777777">
      <w:pPr>
        <w:autoSpaceDE w:val="0"/>
        <w:autoSpaceDN w:val="0"/>
        <w:adjustRightInd w:val="0"/>
        <w:spacing w:line="276" w:lineRule="auto"/>
        <w:ind w:firstLine="720"/>
        <w:jc w:val="both"/>
        <w:rPr>
          <w:rFonts w:ascii="Arial" w:hAnsi="Arial" w:cs="Arial"/>
          <w:color w:val="FF0000"/>
          <w:sz w:val="20"/>
          <w:szCs w:val="20"/>
        </w:rPr>
      </w:pPr>
    </w:p>
    <w:p w:rsidRPr="008202CA" w:rsidR="006167E1" w:rsidP="008202CA" w:rsidRDefault="006167E1" w14:paraId="57988358" w14:textId="77777777">
      <w:pPr>
        <w:autoSpaceDE w:val="0"/>
        <w:autoSpaceDN w:val="0"/>
        <w:adjustRightInd w:val="0"/>
        <w:spacing w:line="276" w:lineRule="auto"/>
        <w:jc w:val="both"/>
        <w:rPr>
          <w:rFonts w:ascii="Arial" w:hAnsi="Arial" w:cs="Arial"/>
          <w:sz w:val="20"/>
          <w:szCs w:val="20"/>
        </w:rPr>
      </w:pPr>
      <w:r w:rsidRPr="008202CA">
        <w:rPr>
          <w:rFonts w:ascii="Arial" w:hAnsi="Arial" w:cs="Arial"/>
          <w:sz w:val="20"/>
          <w:szCs w:val="20"/>
        </w:rPr>
        <w:t xml:space="preserve">In general, links were proposed to coordinate with routing constraints and to comply with the Commission’s policy of prudent avoidance </w:t>
      </w:r>
      <w:r w:rsidRPr="008202CA">
        <w:rPr>
          <w:rFonts w:ascii="Arial" w:hAnsi="Arial" w:cs="Arial"/>
          <w:color w:val="000000"/>
          <w:sz w:val="20"/>
          <w:szCs w:val="20"/>
        </w:rPr>
        <w:t>after field investigation</w:t>
      </w:r>
      <w:r w:rsidRPr="008202CA">
        <w:rPr>
          <w:rFonts w:ascii="Arial" w:hAnsi="Arial" w:cs="Arial"/>
          <w:sz w:val="20"/>
          <w:szCs w:val="20"/>
        </w:rPr>
        <w:t>.  Following review of the preliminary alternative route links, a total of 52 alternative route links were adopted, from which 150 alternative routes were delineated and further evaluated, as discussed in Section 5.0 of the Environmental Assessment and Routing Study.</w:t>
      </w:r>
    </w:p>
    <w:p w:rsidRPr="008202CA" w:rsidR="006167E1" w:rsidP="008202CA" w:rsidRDefault="006167E1" w14:paraId="10F39B6B" w14:textId="77777777">
      <w:pPr>
        <w:autoSpaceDE w:val="0"/>
        <w:autoSpaceDN w:val="0"/>
        <w:adjustRightInd w:val="0"/>
        <w:spacing w:line="276" w:lineRule="auto"/>
        <w:jc w:val="both"/>
        <w:rPr>
          <w:rFonts w:ascii="Arial" w:hAnsi="Arial" w:cs="Arial"/>
          <w:color w:val="000000"/>
          <w:sz w:val="20"/>
          <w:szCs w:val="20"/>
        </w:rPr>
      </w:pPr>
    </w:p>
    <w:p w:rsidRPr="008202CA" w:rsidR="006167E1" w:rsidP="008202CA" w:rsidRDefault="006167E1" w14:paraId="6C9E002E" w14:textId="77777777">
      <w:pPr>
        <w:spacing w:line="276" w:lineRule="auto"/>
        <w:jc w:val="both"/>
        <w:rPr>
          <w:rFonts w:ascii="Arial" w:hAnsi="Arial" w:cs="Arial"/>
          <w:b/>
          <w:bCs/>
          <w:color w:val="000000"/>
          <w:sz w:val="20"/>
          <w:szCs w:val="20"/>
          <w:u w:val="single"/>
        </w:rPr>
      </w:pPr>
      <w:r w:rsidRPr="008202CA">
        <w:rPr>
          <w:rFonts w:ascii="Arial" w:hAnsi="Arial" w:cs="Arial"/>
          <w:b/>
          <w:bCs/>
          <w:color w:val="000000"/>
          <w:sz w:val="20"/>
          <w:szCs w:val="20"/>
          <w:u w:val="single"/>
        </w:rPr>
        <w:t>Development of Alternative Routes</w:t>
      </w:r>
    </w:p>
    <w:p w:rsidRPr="008202CA" w:rsidR="006167E1" w:rsidP="008202CA" w:rsidRDefault="006167E1" w14:paraId="0479DA47" w14:textId="77777777">
      <w:pPr>
        <w:spacing w:line="276" w:lineRule="auto"/>
        <w:jc w:val="both"/>
        <w:rPr>
          <w:rFonts w:ascii="Arial" w:hAnsi="Arial" w:cs="Arial"/>
          <w:b/>
          <w:bCs/>
          <w:color w:val="000000"/>
          <w:sz w:val="20"/>
          <w:szCs w:val="20"/>
        </w:rPr>
      </w:pPr>
    </w:p>
    <w:p w:rsidRPr="008202CA" w:rsidR="006167E1" w:rsidP="008202CA" w:rsidRDefault="006167E1" w14:paraId="51B7891E" w14:textId="732E5E92">
      <w:pPr>
        <w:spacing w:line="276" w:lineRule="auto"/>
        <w:jc w:val="both"/>
        <w:rPr>
          <w:rFonts w:ascii="Arial" w:hAnsi="Arial" w:cs="Arial"/>
          <w:b/>
          <w:bCs/>
          <w:sz w:val="20"/>
          <w:szCs w:val="20"/>
        </w:rPr>
      </w:pPr>
      <w:r w:rsidRPr="008202CA">
        <w:rPr>
          <w:rFonts w:ascii="Arial" w:hAnsi="Arial" w:cs="Arial"/>
          <w:sz w:val="20"/>
          <w:szCs w:val="20"/>
        </w:rPr>
        <w:t>Halff identified multiple potential alternative routes using these 52 alternative route links.  Ultimately, a total of 150 alternative routes were identified for further routing analysis.  I initially identified three alternative route links that created corridors in which to group potential alternative routes.  The alternative route combinations within each of the three routing corridors were identified.  Each of the alternative route link corridors were analyzed to identify a select number of geographically diverse and forward-progressing route alternatives from which the Commission could compare the routing possibilities for the Proposed Transmission Line Project.  Below, I discuss the 21 alternative routes that I selected to be filed with the CCN Application</w:t>
      </w:r>
      <w:r w:rsidR="00181292">
        <w:rPr>
          <w:rFonts w:ascii="Arial" w:hAnsi="Arial" w:cs="Arial"/>
          <w:sz w:val="20"/>
          <w:szCs w:val="20"/>
        </w:rPr>
        <w:t xml:space="preserve">, </w:t>
      </w:r>
      <w:r w:rsidRPr="008202CA" w:rsidR="00181292">
        <w:rPr>
          <w:rFonts w:ascii="Arial" w:hAnsi="Arial" w:cs="Arial"/>
          <w:sz w:val="20"/>
          <w:szCs w:val="20"/>
        </w:rPr>
        <w:t>as shown in Table 2 attached to this Memorandum</w:t>
      </w:r>
      <w:r w:rsidRPr="008202CA">
        <w:rPr>
          <w:rFonts w:ascii="Arial" w:hAnsi="Arial" w:cs="Arial"/>
          <w:sz w:val="20"/>
          <w:szCs w:val="20"/>
        </w:rPr>
        <w:t xml:space="preserve">.  </w:t>
      </w:r>
    </w:p>
    <w:p w:rsidRPr="008202CA" w:rsidR="006167E1" w:rsidP="008202CA" w:rsidRDefault="006167E1" w14:paraId="09142E00" w14:textId="77777777">
      <w:pPr>
        <w:spacing w:line="276" w:lineRule="auto"/>
        <w:jc w:val="both"/>
        <w:rPr>
          <w:rFonts w:ascii="Arial" w:hAnsi="Arial" w:cs="Arial"/>
          <w:b/>
          <w:bCs/>
          <w:color w:val="000000"/>
          <w:sz w:val="20"/>
          <w:szCs w:val="20"/>
          <w:u w:val="single"/>
        </w:rPr>
      </w:pPr>
    </w:p>
    <w:p w:rsidRPr="008202CA" w:rsidR="006167E1" w:rsidP="008202CA" w:rsidRDefault="006167E1" w14:paraId="66357144" w14:textId="77777777">
      <w:pPr>
        <w:spacing w:line="276" w:lineRule="auto"/>
        <w:jc w:val="both"/>
        <w:rPr>
          <w:rFonts w:ascii="Arial" w:hAnsi="Arial" w:cs="Arial"/>
          <w:b/>
          <w:bCs/>
          <w:color w:val="000000"/>
          <w:sz w:val="20"/>
          <w:szCs w:val="20"/>
          <w:u w:val="single"/>
        </w:rPr>
      </w:pPr>
      <w:r w:rsidRPr="008202CA">
        <w:rPr>
          <w:rFonts w:ascii="Arial" w:hAnsi="Arial" w:cs="Arial"/>
          <w:b/>
          <w:bCs/>
          <w:color w:val="000000"/>
          <w:sz w:val="20"/>
          <w:szCs w:val="20"/>
          <w:u w:val="single"/>
        </w:rPr>
        <w:t>Discussion of Alternative Routes</w:t>
      </w:r>
    </w:p>
    <w:p w:rsidRPr="008202CA" w:rsidR="006167E1" w:rsidP="008202CA" w:rsidRDefault="006167E1" w14:paraId="2B47318B" w14:textId="77777777">
      <w:pPr>
        <w:autoSpaceDE w:val="0"/>
        <w:autoSpaceDN w:val="0"/>
        <w:adjustRightInd w:val="0"/>
        <w:spacing w:line="276" w:lineRule="auto"/>
        <w:jc w:val="both"/>
        <w:rPr>
          <w:rFonts w:ascii="Arial" w:hAnsi="Arial" w:cs="Arial"/>
          <w:b/>
          <w:bCs/>
          <w:color w:val="000000"/>
          <w:sz w:val="20"/>
          <w:szCs w:val="20"/>
          <w:u w:val="single"/>
        </w:rPr>
      </w:pPr>
    </w:p>
    <w:p w:rsidRPr="008202CA" w:rsidR="006167E1" w:rsidP="008202CA" w:rsidRDefault="006167E1" w14:paraId="6544744A" w14:textId="382E2BBF">
      <w:pPr>
        <w:spacing w:line="276" w:lineRule="auto"/>
        <w:jc w:val="both"/>
        <w:rPr>
          <w:rFonts w:ascii="Arial" w:hAnsi="Arial" w:cs="Arial"/>
          <w:sz w:val="20"/>
          <w:szCs w:val="20"/>
        </w:rPr>
      </w:pPr>
      <w:r w:rsidRPr="008202CA">
        <w:rPr>
          <w:rFonts w:ascii="Arial" w:hAnsi="Arial" w:cs="Arial"/>
          <w:sz w:val="20"/>
          <w:szCs w:val="20"/>
        </w:rPr>
        <w:t xml:space="preserve">Each of the 150 </w:t>
      </w:r>
      <w:r w:rsidR="00181292">
        <w:rPr>
          <w:rFonts w:ascii="Arial" w:hAnsi="Arial" w:cs="Arial"/>
          <w:sz w:val="20"/>
          <w:szCs w:val="20"/>
        </w:rPr>
        <w:t xml:space="preserve">preliminary </w:t>
      </w:r>
      <w:r w:rsidRPr="008202CA">
        <w:rPr>
          <w:rFonts w:ascii="Arial" w:hAnsi="Arial" w:cs="Arial"/>
          <w:sz w:val="20"/>
          <w:szCs w:val="20"/>
        </w:rPr>
        <w:t xml:space="preserve">alternative routes identified possesses both positive and negative comparative attributes.  I considered these attributes to select a set of geographically diverse routing alternatives to be filed as a part of the CCN Application.  Below is a discussion of the 21 alternative routes that were identified to be filed with the CCN Application.  Each alternative route complies with Section 37.056(c)(4)(A)-(D) of the Texas Utilities Code and Commission Substantive Rule 25.101, including the Commission’s policy of prudent avoidance.  None of the 150 </w:t>
      </w:r>
      <w:r w:rsidR="00181292">
        <w:rPr>
          <w:rFonts w:ascii="Arial" w:hAnsi="Arial" w:cs="Arial"/>
          <w:sz w:val="20"/>
          <w:szCs w:val="20"/>
        </w:rPr>
        <w:t xml:space="preserve">preliminary </w:t>
      </w:r>
      <w:r w:rsidRPr="008202CA">
        <w:rPr>
          <w:rFonts w:ascii="Arial" w:hAnsi="Arial" w:cs="Arial"/>
          <w:sz w:val="20"/>
          <w:szCs w:val="20"/>
        </w:rPr>
        <w:t>alternative routes identified for the Proposed Transmission Line Project have habitable structures within 500 feet of the route centerline.</w:t>
      </w:r>
    </w:p>
    <w:p w:rsidRPr="008202CA" w:rsidR="006167E1" w:rsidP="008202CA" w:rsidRDefault="006167E1" w14:paraId="0E2E3013" w14:textId="77777777">
      <w:pPr>
        <w:spacing w:line="276" w:lineRule="auto"/>
        <w:jc w:val="both"/>
        <w:rPr>
          <w:rFonts w:ascii="Arial" w:hAnsi="Arial" w:cs="Arial"/>
          <w:sz w:val="20"/>
          <w:szCs w:val="20"/>
        </w:rPr>
      </w:pPr>
    </w:p>
    <w:p w:rsidRPr="008202CA" w:rsidR="006167E1" w:rsidP="008202CA" w:rsidRDefault="006167E1" w14:paraId="1CF6FFAD" w14:textId="77777777">
      <w:pPr>
        <w:spacing w:line="276" w:lineRule="auto"/>
        <w:jc w:val="both"/>
        <w:rPr>
          <w:rFonts w:ascii="Arial" w:hAnsi="Arial" w:cs="Arial"/>
          <w:color w:val="FF0000"/>
          <w:sz w:val="20"/>
          <w:szCs w:val="20"/>
        </w:rPr>
      </w:pPr>
      <w:r w:rsidRPr="008202CA">
        <w:rPr>
          <w:rFonts w:ascii="Arial" w:hAnsi="Arial" w:cs="Arial"/>
          <w:color w:val="000000"/>
          <w:sz w:val="20"/>
          <w:szCs w:val="20"/>
        </w:rPr>
        <w:t xml:space="preserve">The alternative routes can be grouped in many different ways; one approach is to group them into geographic corridors.  I grouped the alternative routes into three different geographic corridors </w:t>
      </w:r>
      <w:r w:rsidRPr="008202CA">
        <w:rPr>
          <w:rFonts w:ascii="Arial" w:hAnsi="Arial" w:cs="Arial"/>
          <w:sz w:val="20"/>
          <w:szCs w:val="20"/>
        </w:rPr>
        <w:t>following the north-south orientation of the alternative route links</w:t>
      </w:r>
      <w:r w:rsidRPr="008202CA">
        <w:rPr>
          <w:rFonts w:ascii="Arial" w:hAnsi="Arial" w:cs="Arial"/>
          <w:color w:val="000000"/>
          <w:sz w:val="20"/>
          <w:szCs w:val="20"/>
        </w:rPr>
        <w:t xml:space="preserve">. These three corridors are identified as the: </w:t>
      </w:r>
      <w:r w:rsidRPr="008202CA">
        <w:rPr>
          <w:rFonts w:ascii="Arial" w:hAnsi="Arial" w:cs="Arial"/>
          <w:sz w:val="20"/>
          <w:szCs w:val="20"/>
        </w:rPr>
        <w:t>(1) west corridor using Link E4; (2) central corridor using Link G4; and (3) east corridor using Link I4</w:t>
      </w:r>
      <w:r w:rsidRPr="008202CA">
        <w:rPr>
          <w:rFonts w:ascii="Arial" w:hAnsi="Arial" w:cs="Arial"/>
          <w:color w:val="000000"/>
          <w:sz w:val="20"/>
          <w:szCs w:val="20"/>
        </w:rPr>
        <w:t xml:space="preserve">.  The map </w:t>
      </w:r>
      <w:r w:rsidRPr="008202CA">
        <w:rPr>
          <w:rFonts w:ascii="Arial" w:hAnsi="Arial" w:cs="Arial"/>
          <w:color w:val="000000"/>
          <w:sz w:val="20"/>
          <w:szCs w:val="20"/>
        </w:rPr>
        <w:lastRenderedPageBreak/>
        <w:t xml:space="preserve">attached to this Memorandum shows these alternative route link locations.  </w:t>
      </w:r>
      <w:r w:rsidRPr="008202CA">
        <w:rPr>
          <w:rFonts w:ascii="Arial" w:hAnsi="Arial" w:cs="Arial"/>
          <w:sz w:val="20"/>
          <w:szCs w:val="20"/>
        </w:rPr>
        <w:t xml:space="preserve">All alternative routes </w:t>
      </w:r>
      <w:bookmarkStart w:name="_Hlk141910983" w:id="0"/>
      <w:r w:rsidRPr="008202CA">
        <w:rPr>
          <w:rFonts w:ascii="Arial" w:hAnsi="Arial" w:cs="Arial"/>
          <w:sz w:val="20"/>
          <w:szCs w:val="20"/>
        </w:rPr>
        <w:t>cross SH Loop 338</w:t>
      </w:r>
      <w:bookmarkEnd w:id="0"/>
      <w:r w:rsidRPr="008202CA">
        <w:rPr>
          <w:rFonts w:ascii="Arial" w:hAnsi="Arial" w:cs="Arial"/>
          <w:sz w:val="20"/>
          <w:szCs w:val="20"/>
        </w:rPr>
        <w:t xml:space="preserve">.  </w:t>
      </w:r>
    </w:p>
    <w:p w:rsidRPr="008202CA" w:rsidR="006167E1" w:rsidP="008202CA" w:rsidRDefault="006167E1" w14:paraId="4ABB6138" w14:textId="77777777">
      <w:pPr>
        <w:spacing w:line="276" w:lineRule="auto"/>
        <w:jc w:val="both"/>
        <w:rPr>
          <w:rFonts w:ascii="Arial" w:hAnsi="Arial" w:cs="Arial"/>
          <w:color w:val="FF0000"/>
          <w:sz w:val="20"/>
          <w:szCs w:val="20"/>
        </w:rPr>
      </w:pPr>
    </w:p>
    <w:p w:rsidRPr="008202CA" w:rsidR="006167E1" w:rsidP="008202CA" w:rsidRDefault="006167E1" w14:paraId="118D853A" w14:textId="1D487C1B">
      <w:pPr>
        <w:spacing w:line="276" w:lineRule="auto"/>
        <w:jc w:val="both"/>
        <w:rPr>
          <w:rFonts w:ascii="Arial" w:hAnsi="Arial" w:cs="Arial"/>
          <w:color w:val="000000"/>
          <w:sz w:val="20"/>
          <w:szCs w:val="20"/>
        </w:rPr>
      </w:pPr>
      <w:r w:rsidRPr="008202CA">
        <w:rPr>
          <w:rFonts w:ascii="Arial" w:hAnsi="Arial" w:cs="Arial"/>
          <w:sz w:val="20"/>
          <w:szCs w:val="20"/>
        </w:rPr>
        <w:t xml:space="preserve">I presented the 52 alternative route links and all 150 </w:t>
      </w:r>
      <w:r w:rsidR="00181292">
        <w:rPr>
          <w:rFonts w:ascii="Arial" w:hAnsi="Arial" w:cs="Arial"/>
          <w:sz w:val="20"/>
          <w:szCs w:val="20"/>
        </w:rPr>
        <w:t xml:space="preserve">preliminary </w:t>
      </w:r>
      <w:r w:rsidRPr="008202CA">
        <w:rPr>
          <w:rFonts w:ascii="Arial" w:hAnsi="Arial" w:cs="Arial"/>
          <w:sz w:val="20"/>
          <w:szCs w:val="20"/>
        </w:rPr>
        <w:t xml:space="preserve">alternative routes to Oncor’s engineering witness for this project, Mr. Kaleb Roberts, for consideration of engineering feasibility, construction limitations, and alternative route cost estimates.  </w:t>
      </w:r>
      <w:r w:rsidRPr="008202CA">
        <w:rPr>
          <w:rFonts w:ascii="Arial" w:hAnsi="Arial" w:cs="Arial"/>
          <w:color w:val="000000"/>
          <w:sz w:val="20"/>
          <w:szCs w:val="20"/>
        </w:rPr>
        <w:t xml:space="preserve">Mr. </w:t>
      </w:r>
      <w:r w:rsidRPr="008202CA">
        <w:rPr>
          <w:rFonts w:ascii="Arial" w:hAnsi="Arial" w:cs="Arial"/>
          <w:sz w:val="20"/>
          <w:szCs w:val="20"/>
        </w:rPr>
        <w:t>Roberts</w:t>
      </w:r>
      <w:r w:rsidRPr="008202CA">
        <w:rPr>
          <w:rFonts w:ascii="Arial" w:hAnsi="Arial" w:cs="Arial"/>
          <w:color w:val="000000"/>
          <w:sz w:val="20"/>
          <w:szCs w:val="20"/>
        </w:rPr>
        <w:t xml:space="preserve"> confirmed the engineering feasibility based on known constraints for each of the alternative routes, and he also provided cost estimates for each alternative route.  </w:t>
      </w:r>
    </w:p>
    <w:p w:rsidRPr="008202CA" w:rsidR="006167E1" w:rsidP="008202CA" w:rsidRDefault="006167E1" w14:paraId="7D3CBA6A" w14:textId="77777777">
      <w:pPr>
        <w:spacing w:line="276" w:lineRule="auto"/>
        <w:jc w:val="both"/>
        <w:rPr>
          <w:rFonts w:ascii="Arial" w:hAnsi="Arial" w:cs="Arial"/>
          <w:color w:val="000000"/>
          <w:sz w:val="20"/>
          <w:szCs w:val="20"/>
        </w:rPr>
      </w:pPr>
    </w:p>
    <w:p w:rsidRPr="008202CA" w:rsidR="006167E1" w:rsidP="008202CA" w:rsidRDefault="006167E1" w14:paraId="1DC86521" w14:textId="216D556C">
      <w:pPr>
        <w:spacing w:line="276" w:lineRule="auto"/>
        <w:jc w:val="both"/>
        <w:rPr>
          <w:rFonts w:ascii="Arial" w:hAnsi="Arial" w:cs="Arial"/>
          <w:sz w:val="20"/>
          <w:szCs w:val="20"/>
        </w:rPr>
      </w:pPr>
      <w:r w:rsidRPr="007D5173">
        <w:rPr>
          <w:rFonts w:ascii="Arial" w:hAnsi="Arial" w:cs="Arial"/>
          <w:sz w:val="20"/>
          <w:szCs w:val="20"/>
        </w:rPr>
        <w:t xml:space="preserve">Based on my analysis, I selected 21 geographically diverse alternative routes to be filed with the CCN Application to allow for an adequate number of alternative routes to conduct a proper evaluation.  Table 1, attached to this Memorandum, presents the route links that comprise these alternative routes.  Table 2, attached to this Memorandum, presents quantifiable environmental data on the 21 alternative routes filed as a part of the CCN Application.  The </w:t>
      </w:r>
      <w:r w:rsidRPr="007D5173" w:rsidR="007D5173">
        <w:rPr>
          <w:rFonts w:ascii="Arial" w:hAnsi="Arial" w:cs="Arial"/>
          <w:sz w:val="20"/>
          <w:szCs w:val="20"/>
        </w:rPr>
        <w:t xml:space="preserve">filed </w:t>
      </w:r>
      <w:r w:rsidRPr="007D5173">
        <w:rPr>
          <w:rFonts w:ascii="Arial" w:hAnsi="Arial" w:cs="Arial"/>
          <w:sz w:val="20"/>
          <w:szCs w:val="20"/>
        </w:rPr>
        <w:t xml:space="preserve">alternative routes use each of the 52 </w:t>
      </w:r>
      <w:r w:rsidR="007D5173">
        <w:rPr>
          <w:rFonts w:ascii="Arial" w:hAnsi="Arial" w:cs="Arial"/>
          <w:sz w:val="20"/>
          <w:szCs w:val="20"/>
        </w:rPr>
        <w:t xml:space="preserve">alternative </w:t>
      </w:r>
      <w:r w:rsidRPr="007D5173">
        <w:rPr>
          <w:rFonts w:ascii="Arial" w:hAnsi="Arial" w:cs="Arial"/>
          <w:sz w:val="20"/>
          <w:szCs w:val="20"/>
        </w:rPr>
        <w:t>route links in at least one route.  Below is a discussion of each of the geographic corridors and the alternative routes selected for filing within each corridor.</w:t>
      </w:r>
    </w:p>
    <w:p w:rsidRPr="008202CA" w:rsidR="006167E1" w:rsidP="008202CA" w:rsidRDefault="006167E1" w14:paraId="2BDC56C4" w14:textId="77777777">
      <w:pPr>
        <w:spacing w:line="276" w:lineRule="auto"/>
        <w:jc w:val="both"/>
        <w:rPr>
          <w:rFonts w:ascii="Arial" w:hAnsi="Arial" w:cs="Arial"/>
          <w:sz w:val="20"/>
          <w:szCs w:val="20"/>
          <w:highlight w:val="yellow"/>
        </w:rPr>
      </w:pPr>
    </w:p>
    <w:p w:rsidRPr="00F220B9" w:rsidR="006167E1" w:rsidP="008202CA" w:rsidRDefault="006167E1" w14:paraId="3EF96463" w14:textId="05F2C730">
      <w:pPr>
        <w:spacing w:line="276" w:lineRule="auto"/>
        <w:jc w:val="both"/>
        <w:rPr>
          <w:rFonts w:ascii="Arial" w:hAnsi="Arial" w:cs="Arial"/>
          <w:sz w:val="20"/>
          <w:szCs w:val="20"/>
        </w:rPr>
      </w:pPr>
      <w:bookmarkStart w:name="_Hlk170826412" w:id="1"/>
      <w:r w:rsidRPr="008202CA">
        <w:rPr>
          <w:rFonts w:ascii="Arial" w:hAnsi="Arial" w:cs="Arial"/>
          <w:sz w:val="20"/>
          <w:szCs w:val="20"/>
        </w:rPr>
        <w:t>The west corridor routes containing Link E4 (“Link E4 Corridor Routes”) vary in length from approximately 4.05 to 4.78 miles.  Transmission line costs for Link E4 Corridor Routes range from an estimated $19,518,000 to $24,875,</w:t>
      </w:r>
      <w:r w:rsidRPr="00F220B9">
        <w:rPr>
          <w:rFonts w:ascii="Arial" w:hAnsi="Arial" w:cs="Arial"/>
          <w:sz w:val="20"/>
          <w:szCs w:val="20"/>
        </w:rPr>
        <w:t xml:space="preserve">000.  The Link E4 Corridor Routes range have a range of </w:t>
      </w:r>
      <w:r w:rsidRPr="00F220B9" w:rsidR="009C0C95">
        <w:rPr>
          <w:rFonts w:ascii="Arial" w:hAnsi="Arial" w:cs="Arial"/>
          <w:sz w:val="20"/>
          <w:szCs w:val="20"/>
        </w:rPr>
        <w:t>3</w:t>
      </w:r>
      <w:r w:rsidRPr="00F220B9" w:rsidR="00102E0A">
        <w:rPr>
          <w:rFonts w:ascii="Arial" w:hAnsi="Arial" w:cs="Arial"/>
          <w:sz w:val="20"/>
          <w:szCs w:val="20"/>
        </w:rPr>
        <w:t>1</w:t>
      </w:r>
      <w:r w:rsidRPr="00F220B9" w:rsidR="009C0C95">
        <w:rPr>
          <w:rFonts w:ascii="Arial" w:hAnsi="Arial" w:cs="Arial"/>
          <w:sz w:val="20"/>
          <w:szCs w:val="20"/>
        </w:rPr>
        <w:t>.3</w:t>
      </w:r>
      <w:r w:rsidRPr="00F220B9">
        <w:rPr>
          <w:rFonts w:ascii="Arial" w:hAnsi="Arial" w:cs="Arial"/>
          <w:sz w:val="20"/>
          <w:szCs w:val="20"/>
        </w:rPr>
        <w:t xml:space="preserve">% to </w:t>
      </w:r>
      <w:r w:rsidRPr="00F220B9" w:rsidR="009C0C95">
        <w:rPr>
          <w:rFonts w:ascii="Arial" w:hAnsi="Arial" w:cs="Arial"/>
          <w:sz w:val="20"/>
          <w:szCs w:val="20"/>
        </w:rPr>
        <w:t>64</w:t>
      </w:r>
      <w:r w:rsidRPr="00F220B9">
        <w:rPr>
          <w:rFonts w:ascii="Arial" w:hAnsi="Arial" w:cs="Arial"/>
          <w:sz w:val="20"/>
          <w:szCs w:val="20"/>
        </w:rPr>
        <w:t>.0% of their total route length parallel to existing compatible corridors</w:t>
      </w:r>
      <w:r w:rsidRPr="00F220B9" w:rsidR="009C0C95">
        <w:rPr>
          <w:rFonts w:ascii="Arial" w:hAnsi="Arial" w:cs="Arial"/>
          <w:sz w:val="20"/>
          <w:szCs w:val="20"/>
        </w:rPr>
        <w:t xml:space="preserve"> and a range of </w:t>
      </w:r>
      <w:r w:rsidRPr="00F220B9" w:rsidR="00102E0A">
        <w:rPr>
          <w:rFonts w:ascii="Arial" w:hAnsi="Arial" w:cs="Arial"/>
          <w:sz w:val="20"/>
          <w:szCs w:val="20"/>
        </w:rPr>
        <w:t>6.</w:t>
      </w:r>
      <w:r w:rsidRPr="00F220B9" w:rsidR="009C0C95">
        <w:rPr>
          <w:rFonts w:ascii="Arial" w:hAnsi="Arial" w:cs="Arial"/>
          <w:sz w:val="20"/>
          <w:szCs w:val="20"/>
        </w:rPr>
        <w:t>8% to 10.7% of their total route length within existing Oncor easement or fee-owned property (collectively, Oncor right</w:t>
      </w:r>
      <w:r w:rsidRPr="00F220B9" w:rsidR="009C0C95">
        <w:rPr>
          <w:rFonts w:ascii="Arial" w:hAnsi="Arial" w:cs="Arial"/>
          <w:color w:val="FF0000"/>
          <w:sz w:val="20"/>
          <w:szCs w:val="20"/>
        </w:rPr>
        <w:t>-</w:t>
      </w:r>
      <w:r w:rsidRPr="00F220B9" w:rsidR="009C0C95">
        <w:rPr>
          <w:rFonts w:ascii="Arial" w:hAnsi="Arial" w:cs="Arial"/>
          <w:sz w:val="20"/>
          <w:szCs w:val="20"/>
        </w:rPr>
        <w:t>of-way [“ROW”])</w:t>
      </w:r>
      <w:r w:rsidRPr="00F220B9">
        <w:rPr>
          <w:rFonts w:ascii="Arial" w:hAnsi="Arial" w:cs="Arial"/>
          <w:sz w:val="20"/>
          <w:szCs w:val="20"/>
        </w:rPr>
        <w:t xml:space="preserve">.  The seven alternatives filed in the CCN Application from the Link E4 Corridor Routes include Alternative Routes 1, 4, 5, 6, 46, 61, and 88. </w:t>
      </w:r>
    </w:p>
    <w:bookmarkEnd w:id="1"/>
    <w:p w:rsidRPr="00F220B9" w:rsidR="006167E1" w:rsidP="008202CA" w:rsidRDefault="006167E1" w14:paraId="008CF2E0" w14:textId="77777777">
      <w:pPr>
        <w:spacing w:line="276" w:lineRule="auto"/>
        <w:ind w:firstLine="720"/>
        <w:jc w:val="both"/>
        <w:rPr>
          <w:rFonts w:ascii="Arial" w:hAnsi="Arial" w:cs="Arial"/>
          <w:sz w:val="20"/>
          <w:szCs w:val="20"/>
        </w:rPr>
      </w:pPr>
    </w:p>
    <w:p w:rsidRPr="00F220B9" w:rsidR="006167E1" w:rsidP="008202CA" w:rsidRDefault="006167E1" w14:paraId="3A4E24BC" w14:textId="7DCC6C0E">
      <w:pPr>
        <w:spacing w:line="276" w:lineRule="auto"/>
        <w:jc w:val="both"/>
        <w:rPr>
          <w:rFonts w:ascii="Arial" w:hAnsi="Arial" w:cs="Arial"/>
          <w:sz w:val="20"/>
          <w:szCs w:val="20"/>
        </w:rPr>
      </w:pPr>
      <w:bookmarkStart w:name="_Hlk170826421" w:id="2"/>
      <w:r w:rsidRPr="00F220B9">
        <w:rPr>
          <w:rFonts w:ascii="Arial" w:hAnsi="Arial" w:cs="Arial"/>
          <w:sz w:val="20"/>
          <w:szCs w:val="20"/>
        </w:rPr>
        <w:t xml:space="preserve">The central corridor routes containing Link </w:t>
      </w:r>
      <w:bookmarkStart w:name="_Hlk170376642" w:id="3"/>
      <w:r w:rsidRPr="00F220B9">
        <w:rPr>
          <w:rFonts w:ascii="Arial" w:hAnsi="Arial" w:cs="Arial"/>
          <w:sz w:val="20"/>
          <w:szCs w:val="20"/>
        </w:rPr>
        <w:t xml:space="preserve">G4 </w:t>
      </w:r>
      <w:bookmarkEnd w:id="3"/>
      <w:r w:rsidRPr="00F220B9">
        <w:rPr>
          <w:rFonts w:ascii="Arial" w:hAnsi="Arial" w:cs="Arial"/>
          <w:sz w:val="20"/>
          <w:szCs w:val="20"/>
        </w:rPr>
        <w:t xml:space="preserve">(“Link G4 Corridor Routes”) vary in length from approximately 4.11 to 4.66 miles.  Transmission line costs for Link G4 Corridor Routes range from an estimated $19,514,000 to $25,591,000.  The Link G4 Corridor Routes have a range of </w:t>
      </w:r>
      <w:r w:rsidRPr="00F220B9" w:rsidR="00102E0A">
        <w:rPr>
          <w:rFonts w:ascii="Arial" w:hAnsi="Arial" w:cs="Arial"/>
          <w:sz w:val="20"/>
          <w:szCs w:val="20"/>
        </w:rPr>
        <w:t>26.6</w:t>
      </w:r>
      <w:r w:rsidRPr="00F220B9">
        <w:rPr>
          <w:rFonts w:ascii="Arial" w:hAnsi="Arial" w:cs="Arial"/>
          <w:sz w:val="20"/>
          <w:szCs w:val="20"/>
        </w:rPr>
        <w:t xml:space="preserve">% to </w:t>
      </w:r>
      <w:r w:rsidRPr="00F220B9" w:rsidR="00102E0A">
        <w:rPr>
          <w:rFonts w:ascii="Arial" w:hAnsi="Arial" w:cs="Arial"/>
          <w:sz w:val="20"/>
          <w:szCs w:val="20"/>
        </w:rPr>
        <w:t>68.3</w:t>
      </w:r>
      <w:r w:rsidRPr="00F220B9">
        <w:rPr>
          <w:rFonts w:ascii="Arial" w:hAnsi="Arial" w:cs="Arial"/>
          <w:sz w:val="20"/>
          <w:szCs w:val="20"/>
        </w:rPr>
        <w:t>% of their total route length parallel to existing compatible corridors</w:t>
      </w:r>
      <w:r w:rsidRPr="00F220B9" w:rsidR="00102E0A">
        <w:rPr>
          <w:rFonts w:ascii="Arial" w:hAnsi="Arial" w:cs="Arial"/>
          <w:sz w:val="20"/>
          <w:szCs w:val="20"/>
        </w:rPr>
        <w:t xml:space="preserve"> and a range of 6.</w:t>
      </w:r>
      <w:r w:rsidR="007550C1">
        <w:rPr>
          <w:rFonts w:ascii="Arial" w:hAnsi="Arial" w:cs="Arial"/>
          <w:sz w:val="20"/>
          <w:szCs w:val="20"/>
        </w:rPr>
        <w:t>7</w:t>
      </w:r>
      <w:r w:rsidRPr="00F220B9" w:rsidR="00102E0A">
        <w:rPr>
          <w:rFonts w:ascii="Arial" w:hAnsi="Arial" w:cs="Arial"/>
          <w:sz w:val="20"/>
          <w:szCs w:val="20"/>
        </w:rPr>
        <w:t>% to 10.2% of their total route length within existing Oncor</w:t>
      </w:r>
      <w:r w:rsidRPr="00F220B9">
        <w:rPr>
          <w:rFonts w:ascii="Arial" w:hAnsi="Arial" w:cs="Arial"/>
          <w:sz w:val="20"/>
          <w:szCs w:val="20"/>
        </w:rPr>
        <w:t xml:space="preserve">.  The six alternatives filed in the CCN Application from the Link G4 Corridor Routes include Alternative Routes 7, 13, 14, 50, 53, and 65. </w:t>
      </w:r>
    </w:p>
    <w:bookmarkEnd w:id="2"/>
    <w:p w:rsidRPr="00F220B9" w:rsidR="006167E1" w:rsidP="008202CA" w:rsidRDefault="006167E1" w14:paraId="62E42453" w14:textId="77777777">
      <w:pPr>
        <w:spacing w:line="276" w:lineRule="auto"/>
        <w:jc w:val="both"/>
        <w:rPr>
          <w:rFonts w:ascii="Arial" w:hAnsi="Arial" w:cs="Arial"/>
          <w:sz w:val="20"/>
          <w:szCs w:val="20"/>
        </w:rPr>
      </w:pPr>
    </w:p>
    <w:p w:rsidRPr="008202CA" w:rsidR="006167E1" w:rsidP="008202CA" w:rsidRDefault="006167E1" w14:paraId="65527C43" w14:textId="79BDE841">
      <w:pPr>
        <w:spacing w:line="276" w:lineRule="auto"/>
        <w:jc w:val="both"/>
        <w:rPr>
          <w:rFonts w:ascii="Arial" w:hAnsi="Arial" w:cs="Arial"/>
          <w:sz w:val="20"/>
          <w:szCs w:val="20"/>
          <w:highlight w:val="yellow"/>
        </w:rPr>
      </w:pPr>
      <w:bookmarkStart w:name="_Hlk170826427" w:id="4"/>
      <w:r w:rsidRPr="00F220B9">
        <w:rPr>
          <w:rFonts w:ascii="Arial" w:hAnsi="Arial" w:cs="Arial"/>
          <w:sz w:val="20"/>
          <w:szCs w:val="20"/>
        </w:rPr>
        <w:t xml:space="preserve">The east corridor routes containing Link I4 (“Link I4 Corridor Routes”) vary in length from approximately 4.20 to 5.23 miles.  Transmission line costs for Link I4 Corridor Routes range from an estimated $18,115,000 to $28,794,000.  The Link I4 Corridor Routes range have a range of </w:t>
      </w:r>
      <w:r w:rsidRPr="00F220B9" w:rsidR="00102E0A">
        <w:rPr>
          <w:rFonts w:ascii="Arial" w:hAnsi="Arial" w:cs="Arial"/>
          <w:sz w:val="20"/>
          <w:szCs w:val="20"/>
        </w:rPr>
        <w:t>7.6</w:t>
      </w:r>
      <w:r w:rsidRPr="00F220B9">
        <w:rPr>
          <w:rFonts w:ascii="Arial" w:hAnsi="Arial" w:cs="Arial"/>
          <w:sz w:val="20"/>
          <w:szCs w:val="20"/>
        </w:rPr>
        <w:t xml:space="preserve">% to </w:t>
      </w:r>
      <w:r w:rsidRPr="00F220B9" w:rsidR="00102E0A">
        <w:rPr>
          <w:rFonts w:ascii="Arial" w:hAnsi="Arial" w:cs="Arial"/>
          <w:sz w:val="20"/>
          <w:szCs w:val="20"/>
        </w:rPr>
        <w:t>49.1</w:t>
      </w:r>
      <w:r w:rsidRPr="00F220B9">
        <w:rPr>
          <w:rFonts w:ascii="Arial" w:hAnsi="Arial" w:cs="Arial"/>
          <w:sz w:val="20"/>
          <w:szCs w:val="20"/>
        </w:rPr>
        <w:t>% of their total route length parallel to existing compatible corridors</w:t>
      </w:r>
      <w:r w:rsidRPr="00F220B9" w:rsidR="00102E0A">
        <w:rPr>
          <w:rFonts w:ascii="Arial" w:hAnsi="Arial" w:cs="Arial"/>
          <w:sz w:val="20"/>
          <w:szCs w:val="20"/>
        </w:rPr>
        <w:t xml:space="preserve"> and a range of 6.4% to 12.2% of their total route length within existing Oncor.  </w:t>
      </w:r>
      <w:r w:rsidRPr="00F220B9">
        <w:rPr>
          <w:rFonts w:ascii="Arial" w:hAnsi="Arial" w:cs="Arial"/>
          <w:sz w:val="20"/>
          <w:szCs w:val="20"/>
        </w:rPr>
        <w:t>The eight alternatives filed in the CCN Application from the Link I4 Corridor Routes include Alternative Routes 10, 15, 27,</w:t>
      </w:r>
      <w:r w:rsidRPr="008202CA">
        <w:rPr>
          <w:rFonts w:ascii="Arial" w:hAnsi="Arial" w:cs="Arial"/>
          <w:sz w:val="20"/>
          <w:szCs w:val="20"/>
        </w:rPr>
        <w:t xml:space="preserve"> 52, 66, 73, 106, and 123. </w:t>
      </w:r>
    </w:p>
    <w:bookmarkEnd w:id="4"/>
    <w:p w:rsidRPr="008202CA" w:rsidR="006167E1" w:rsidP="008202CA" w:rsidRDefault="006167E1" w14:paraId="2875F6B3" w14:textId="77777777">
      <w:pPr>
        <w:spacing w:line="276" w:lineRule="auto"/>
        <w:jc w:val="both"/>
        <w:rPr>
          <w:rFonts w:ascii="Arial" w:hAnsi="Arial" w:cs="Arial"/>
          <w:sz w:val="20"/>
          <w:szCs w:val="20"/>
          <w:highlight w:val="yellow"/>
        </w:rPr>
      </w:pPr>
      <w:r w:rsidRPr="008202CA">
        <w:rPr>
          <w:rFonts w:ascii="Arial" w:hAnsi="Arial" w:cs="Arial"/>
          <w:sz w:val="20"/>
          <w:szCs w:val="20"/>
          <w:highlight w:val="yellow"/>
        </w:rPr>
        <w:t xml:space="preserve"> </w:t>
      </w:r>
    </w:p>
    <w:p w:rsidRPr="008202CA" w:rsidR="006167E1" w:rsidP="008202CA" w:rsidRDefault="006167E1" w14:paraId="5085FB21" w14:textId="77777777">
      <w:pPr>
        <w:spacing w:line="276" w:lineRule="auto"/>
        <w:jc w:val="both"/>
        <w:rPr>
          <w:rFonts w:ascii="Arial" w:hAnsi="Arial" w:cs="Arial"/>
          <w:b/>
          <w:bCs/>
          <w:sz w:val="20"/>
          <w:szCs w:val="20"/>
          <w:u w:val="single"/>
        </w:rPr>
      </w:pPr>
      <w:r w:rsidRPr="008202CA">
        <w:rPr>
          <w:rFonts w:ascii="Arial" w:hAnsi="Arial" w:cs="Arial"/>
          <w:b/>
          <w:bCs/>
          <w:sz w:val="20"/>
          <w:szCs w:val="20"/>
          <w:u w:val="single"/>
        </w:rPr>
        <w:t>Selection of Route 10 as the Route Best Addressing the Applicable Routing Factors</w:t>
      </w:r>
    </w:p>
    <w:p w:rsidRPr="008202CA" w:rsidR="006167E1" w:rsidP="008202CA" w:rsidRDefault="006167E1" w14:paraId="3F00137B" w14:textId="77777777">
      <w:pPr>
        <w:spacing w:line="276" w:lineRule="auto"/>
        <w:jc w:val="both"/>
        <w:rPr>
          <w:rFonts w:ascii="Arial" w:hAnsi="Arial" w:cs="Arial"/>
          <w:sz w:val="20"/>
          <w:szCs w:val="20"/>
        </w:rPr>
      </w:pPr>
    </w:p>
    <w:p w:rsidRPr="008202CA" w:rsidR="006167E1" w:rsidP="008202CA" w:rsidRDefault="006167E1" w14:paraId="00F81E25" w14:textId="77777777">
      <w:pPr>
        <w:spacing w:line="276" w:lineRule="auto"/>
        <w:jc w:val="both"/>
        <w:rPr>
          <w:rFonts w:ascii="Arial" w:hAnsi="Arial" w:eastAsia="Times New Roman" w:cs="Arial"/>
          <w:sz w:val="20"/>
          <w:szCs w:val="20"/>
        </w:rPr>
      </w:pPr>
      <w:r w:rsidRPr="008202CA">
        <w:rPr>
          <w:rFonts w:ascii="Arial" w:hAnsi="Arial" w:cs="Arial"/>
          <w:sz w:val="20"/>
          <w:szCs w:val="20"/>
        </w:rPr>
        <w:t>After holistically analyzing each of the 21 routes within the three geographic corridors, I selected Route 10 of the Link I4 Corridor Routes as the route that best meets the requirements of Texas Utilities Code Section 37.056 (c)(4)(A)-(D) and Commission Substantive Rule 25.101(b)(3)(B).  Route 10 is comprised of Links A-B4-D3-F4-H4-I4-I5-I6-J.</w:t>
      </w:r>
    </w:p>
    <w:p w:rsidRPr="008202CA" w:rsidR="006167E1" w:rsidP="008202CA" w:rsidRDefault="006167E1" w14:paraId="49A9175B" w14:textId="77777777">
      <w:pPr>
        <w:spacing w:line="276" w:lineRule="auto"/>
        <w:jc w:val="both"/>
        <w:rPr>
          <w:rFonts w:ascii="Arial" w:hAnsi="Arial" w:cs="Arial"/>
          <w:color w:val="FF0000"/>
          <w:sz w:val="20"/>
          <w:szCs w:val="20"/>
        </w:rPr>
      </w:pPr>
    </w:p>
    <w:p w:rsidRPr="008202CA" w:rsidR="006167E1" w:rsidP="008202CA" w:rsidRDefault="006167E1" w14:paraId="76F1D473" w14:textId="77777777">
      <w:pPr>
        <w:spacing w:line="276" w:lineRule="auto"/>
        <w:jc w:val="both"/>
        <w:rPr>
          <w:rFonts w:ascii="Arial" w:hAnsi="Arial" w:cs="Arial"/>
          <w:sz w:val="20"/>
          <w:szCs w:val="20"/>
        </w:rPr>
      </w:pPr>
      <w:r w:rsidRPr="008202CA">
        <w:rPr>
          <w:rFonts w:ascii="Arial" w:hAnsi="Arial" w:cs="Arial"/>
          <w:sz w:val="20"/>
          <w:szCs w:val="20"/>
        </w:rPr>
        <w:t>Some of the significant factors which led to the selection of Route 10 include the following:</w:t>
      </w:r>
    </w:p>
    <w:p w:rsidRPr="008202CA" w:rsidR="006167E1" w:rsidP="008202CA" w:rsidRDefault="006167E1" w14:paraId="367035A4" w14:textId="75D258AF">
      <w:pPr>
        <w:numPr>
          <w:ilvl w:val="0"/>
          <w:numId w:val="1"/>
        </w:numPr>
        <w:tabs>
          <w:tab w:val="clear" w:pos="1560"/>
          <w:tab w:val="num" w:pos="720"/>
        </w:tabs>
        <w:spacing w:line="276" w:lineRule="auto"/>
        <w:ind w:left="720"/>
        <w:jc w:val="both"/>
        <w:rPr>
          <w:rFonts w:ascii="Arial" w:hAnsi="Arial" w:cs="Arial"/>
          <w:sz w:val="20"/>
          <w:szCs w:val="20"/>
        </w:rPr>
      </w:pPr>
      <w:r w:rsidRPr="008202CA">
        <w:rPr>
          <w:rFonts w:ascii="Arial" w:hAnsi="Arial" w:cs="Arial"/>
          <w:sz w:val="20"/>
          <w:szCs w:val="20"/>
        </w:rPr>
        <w:t>The length of Route 10 is approximately 4.43 miles, which is only 0.38 mile longer than the shortest among all the filed routes (Routes 46 and 61) and approximately 0.</w:t>
      </w:r>
      <w:r w:rsidR="00C60C55">
        <w:rPr>
          <w:rFonts w:ascii="Arial" w:hAnsi="Arial" w:cs="Arial"/>
          <w:sz w:val="20"/>
          <w:szCs w:val="20"/>
        </w:rPr>
        <w:t>80</w:t>
      </w:r>
      <w:r w:rsidRPr="008202CA">
        <w:rPr>
          <w:rFonts w:ascii="Arial" w:hAnsi="Arial" w:cs="Arial"/>
          <w:sz w:val="20"/>
          <w:szCs w:val="20"/>
        </w:rPr>
        <w:t xml:space="preserve"> mile shorter than the longest alternative route included in the Application (Route 123 is the longest at approximately 5.23 miles);</w:t>
      </w:r>
    </w:p>
    <w:p w:rsidRPr="008202CA" w:rsidR="006167E1" w:rsidP="008202CA" w:rsidRDefault="006167E1" w14:paraId="09C6A3C8" w14:textId="40FAE209">
      <w:pPr>
        <w:numPr>
          <w:ilvl w:val="0"/>
          <w:numId w:val="1"/>
        </w:numPr>
        <w:tabs>
          <w:tab w:val="clear" w:pos="1560"/>
          <w:tab w:val="num" w:pos="720"/>
        </w:tabs>
        <w:spacing w:line="276" w:lineRule="auto"/>
        <w:ind w:left="720"/>
        <w:jc w:val="both"/>
        <w:rPr>
          <w:rFonts w:ascii="Arial" w:hAnsi="Arial" w:cs="Arial"/>
          <w:sz w:val="20"/>
          <w:szCs w:val="20"/>
        </w:rPr>
      </w:pPr>
      <w:r w:rsidRPr="008202CA">
        <w:rPr>
          <w:rFonts w:ascii="Arial" w:hAnsi="Arial" w:cs="Arial"/>
          <w:sz w:val="20"/>
          <w:szCs w:val="20"/>
        </w:rPr>
        <w:t xml:space="preserve">The estimated transmission line cost for Route 10 is $18,115,000, which is approximately </w:t>
      </w:r>
      <w:r w:rsidR="008A7D58">
        <w:rPr>
          <w:rFonts w:ascii="Arial" w:hAnsi="Arial" w:cs="Arial"/>
          <w:sz w:val="20"/>
          <w:szCs w:val="20"/>
        </w:rPr>
        <w:t>0.68</w:t>
      </w:r>
      <w:r w:rsidRPr="008202CA">
        <w:rPr>
          <w:rFonts w:ascii="Arial" w:hAnsi="Arial" w:cs="Arial"/>
          <w:sz w:val="20"/>
          <w:szCs w:val="20"/>
        </w:rPr>
        <w:t>% more than the least expensive project cost (Route 52 estimated at $17,993,000) and is approximately 58.9% less than the most expensive (Route 106 estimated at $28,794,000);</w:t>
      </w:r>
    </w:p>
    <w:p w:rsidRPr="007550C1" w:rsidR="006167E1" w:rsidP="008202CA" w:rsidRDefault="006167E1" w14:paraId="2485E2E9" w14:textId="77777777">
      <w:pPr>
        <w:numPr>
          <w:ilvl w:val="0"/>
          <w:numId w:val="1"/>
        </w:numPr>
        <w:tabs>
          <w:tab w:val="clear" w:pos="1560"/>
          <w:tab w:val="num" w:pos="720"/>
        </w:tabs>
        <w:spacing w:line="276" w:lineRule="auto"/>
        <w:ind w:left="720"/>
        <w:jc w:val="both"/>
        <w:rPr>
          <w:rFonts w:ascii="Arial" w:hAnsi="Arial" w:cs="Arial"/>
          <w:sz w:val="20"/>
          <w:szCs w:val="20"/>
        </w:rPr>
      </w:pPr>
      <w:r w:rsidRPr="008202CA">
        <w:rPr>
          <w:rFonts w:ascii="Arial" w:hAnsi="Arial" w:cs="Arial"/>
          <w:sz w:val="20"/>
          <w:szCs w:val="20"/>
        </w:rPr>
        <w:t xml:space="preserve">There are no habitable structures within 500 feet of the centerline of Route 10, and there are no habitable structures within 500 feet of the centerline of any alternative route included in the </w:t>
      </w:r>
      <w:r w:rsidRPr="007550C1">
        <w:rPr>
          <w:rFonts w:ascii="Arial" w:hAnsi="Arial" w:cs="Arial"/>
          <w:sz w:val="20"/>
          <w:szCs w:val="20"/>
        </w:rPr>
        <w:t>Application;</w:t>
      </w:r>
    </w:p>
    <w:p w:rsidRPr="007550C1" w:rsidR="006167E1" w:rsidP="008202CA" w:rsidRDefault="006167E1" w14:paraId="3F5EC169" w14:textId="3D7730FE">
      <w:pPr>
        <w:numPr>
          <w:ilvl w:val="0"/>
          <w:numId w:val="1"/>
        </w:numPr>
        <w:tabs>
          <w:tab w:val="clear" w:pos="1560"/>
          <w:tab w:val="num" w:pos="720"/>
        </w:tabs>
        <w:spacing w:line="276" w:lineRule="auto"/>
        <w:ind w:left="720"/>
        <w:jc w:val="both"/>
        <w:rPr>
          <w:rFonts w:ascii="Arial" w:hAnsi="Arial" w:cs="Arial"/>
          <w:sz w:val="20"/>
          <w:szCs w:val="20"/>
        </w:rPr>
      </w:pPr>
      <w:bookmarkStart w:name="_Hlk170826493" w:id="5"/>
      <w:bookmarkStart w:name="_Hlk141918975" w:id="6"/>
      <w:r w:rsidRPr="007550C1">
        <w:rPr>
          <w:rFonts w:ascii="Arial" w:hAnsi="Arial" w:cs="Arial"/>
          <w:sz w:val="20"/>
          <w:szCs w:val="20"/>
        </w:rPr>
        <w:t xml:space="preserve">Route 10 parallels existing compatible corridors (including apparent property boundaries) for approximately </w:t>
      </w:r>
      <w:r w:rsidRPr="007550C1" w:rsidR="00102E0A">
        <w:rPr>
          <w:rFonts w:ascii="Arial" w:hAnsi="Arial" w:cs="Arial"/>
          <w:sz w:val="20"/>
          <w:szCs w:val="20"/>
        </w:rPr>
        <w:t>35.4</w:t>
      </w:r>
      <w:r w:rsidRPr="007550C1">
        <w:rPr>
          <w:rFonts w:ascii="Arial" w:hAnsi="Arial" w:cs="Arial"/>
          <w:sz w:val="20"/>
          <w:szCs w:val="20"/>
        </w:rPr>
        <w:t>% of its length.  Route 13 possesses the highest percentage parallel to existing compatible corridors (</w:t>
      </w:r>
      <w:r w:rsidRPr="007550C1" w:rsidR="00102E0A">
        <w:rPr>
          <w:rFonts w:ascii="Arial" w:hAnsi="Arial" w:cs="Arial"/>
          <w:sz w:val="20"/>
          <w:szCs w:val="20"/>
        </w:rPr>
        <w:t>68.3</w:t>
      </w:r>
      <w:r w:rsidRPr="007550C1">
        <w:rPr>
          <w:rFonts w:ascii="Arial" w:hAnsi="Arial" w:cs="Arial"/>
          <w:sz w:val="20"/>
          <w:szCs w:val="20"/>
        </w:rPr>
        <w:t xml:space="preserve">%) but is longer in route length (4.66 miles).  Route 66 </w:t>
      </w:r>
      <w:r w:rsidRPr="007550C1" w:rsidR="00102E0A">
        <w:rPr>
          <w:rFonts w:ascii="Arial" w:hAnsi="Arial" w:cs="Arial"/>
          <w:sz w:val="20"/>
          <w:szCs w:val="20"/>
        </w:rPr>
        <w:t>has</w:t>
      </w:r>
      <w:r w:rsidRPr="007550C1">
        <w:rPr>
          <w:rFonts w:ascii="Arial" w:hAnsi="Arial" w:cs="Arial"/>
          <w:sz w:val="20"/>
          <w:szCs w:val="20"/>
        </w:rPr>
        <w:t xml:space="preserve"> the lowest percentage parallel to existing compatible corridors (</w:t>
      </w:r>
      <w:r w:rsidRPr="007550C1" w:rsidR="00102E0A">
        <w:rPr>
          <w:rFonts w:ascii="Arial" w:hAnsi="Arial" w:cs="Arial"/>
          <w:sz w:val="20"/>
          <w:szCs w:val="20"/>
        </w:rPr>
        <w:t>7.6</w:t>
      </w:r>
      <w:r w:rsidRPr="007550C1">
        <w:rPr>
          <w:rFonts w:ascii="Arial" w:hAnsi="Arial" w:cs="Arial"/>
          <w:sz w:val="20"/>
          <w:szCs w:val="20"/>
        </w:rPr>
        <w:t>%);</w:t>
      </w:r>
    </w:p>
    <w:p w:rsidRPr="007550C1" w:rsidR="00A27F5A" w:rsidP="008202CA" w:rsidRDefault="00A27F5A" w14:paraId="281F3CB9" w14:textId="18D38F9E">
      <w:pPr>
        <w:numPr>
          <w:ilvl w:val="0"/>
          <w:numId w:val="1"/>
        </w:numPr>
        <w:tabs>
          <w:tab w:val="clear" w:pos="1560"/>
          <w:tab w:val="num" w:pos="720"/>
        </w:tabs>
        <w:spacing w:line="276" w:lineRule="auto"/>
        <w:ind w:left="720"/>
        <w:jc w:val="both"/>
        <w:rPr>
          <w:rFonts w:ascii="Arial" w:hAnsi="Arial" w:cs="Arial"/>
          <w:sz w:val="20"/>
          <w:szCs w:val="20"/>
        </w:rPr>
      </w:pPr>
      <w:bookmarkStart w:name="_Hlk170826524" w:id="7"/>
      <w:bookmarkEnd w:id="5"/>
      <w:r w:rsidRPr="007550C1">
        <w:rPr>
          <w:rFonts w:ascii="Arial" w:hAnsi="Arial" w:cs="Arial"/>
          <w:sz w:val="20"/>
          <w:szCs w:val="20"/>
        </w:rPr>
        <w:t xml:space="preserve">Route 10 utilizes existing Oncor </w:t>
      </w:r>
      <w:r w:rsidRPr="007550C1" w:rsidR="009C0C95">
        <w:rPr>
          <w:rFonts w:ascii="Arial" w:hAnsi="Arial" w:cs="Arial"/>
          <w:sz w:val="20"/>
          <w:szCs w:val="20"/>
        </w:rPr>
        <w:t xml:space="preserve">ROW </w:t>
      </w:r>
      <w:r w:rsidRPr="007550C1">
        <w:rPr>
          <w:rFonts w:ascii="Arial" w:hAnsi="Arial" w:cs="Arial"/>
          <w:sz w:val="20"/>
          <w:szCs w:val="20"/>
        </w:rPr>
        <w:t>for 10</w:t>
      </w:r>
      <w:r w:rsidRPr="007550C1" w:rsidR="0029665E">
        <w:rPr>
          <w:rFonts w:ascii="Arial" w:hAnsi="Arial" w:cs="Arial"/>
          <w:sz w:val="20"/>
          <w:szCs w:val="20"/>
        </w:rPr>
        <w:t>.</w:t>
      </w:r>
      <w:r w:rsidRPr="007550C1" w:rsidR="00F737B8">
        <w:rPr>
          <w:rFonts w:ascii="Arial" w:hAnsi="Arial" w:cs="Arial"/>
          <w:sz w:val="20"/>
          <w:szCs w:val="20"/>
        </w:rPr>
        <w:t>2</w:t>
      </w:r>
      <w:r w:rsidRPr="007550C1">
        <w:rPr>
          <w:rFonts w:ascii="Arial" w:hAnsi="Arial" w:cs="Arial"/>
          <w:sz w:val="20"/>
          <w:szCs w:val="20"/>
        </w:rPr>
        <w:t xml:space="preserve">% of its length.  Route </w:t>
      </w:r>
      <w:r w:rsidRPr="007550C1" w:rsidR="00F737B8">
        <w:rPr>
          <w:rFonts w:ascii="Arial" w:hAnsi="Arial" w:cs="Arial"/>
          <w:sz w:val="20"/>
          <w:szCs w:val="20"/>
        </w:rPr>
        <w:t>106</w:t>
      </w:r>
      <w:r w:rsidRPr="007550C1">
        <w:rPr>
          <w:rFonts w:ascii="Arial" w:hAnsi="Arial" w:cs="Arial"/>
          <w:sz w:val="20"/>
          <w:szCs w:val="20"/>
        </w:rPr>
        <w:t xml:space="preserve"> possesses the highest percentage </w:t>
      </w:r>
      <w:bookmarkStart w:name="_Hlk141919504" w:id="8"/>
      <w:r w:rsidRPr="007550C1">
        <w:rPr>
          <w:rFonts w:ascii="Arial" w:hAnsi="Arial" w:cs="Arial"/>
          <w:sz w:val="20"/>
          <w:szCs w:val="20"/>
        </w:rPr>
        <w:t xml:space="preserve">of its route length within existing Oncor </w:t>
      </w:r>
      <w:bookmarkEnd w:id="8"/>
      <w:r w:rsidRPr="007550C1" w:rsidR="009C0C95">
        <w:rPr>
          <w:rFonts w:ascii="Arial" w:hAnsi="Arial" w:cs="Arial"/>
          <w:sz w:val="20"/>
          <w:szCs w:val="20"/>
        </w:rPr>
        <w:t>ROW</w:t>
      </w:r>
      <w:r w:rsidRPr="007550C1">
        <w:rPr>
          <w:rFonts w:ascii="Arial" w:hAnsi="Arial" w:cs="Arial"/>
          <w:sz w:val="20"/>
          <w:szCs w:val="20"/>
        </w:rPr>
        <w:t xml:space="preserve"> (</w:t>
      </w:r>
      <w:r w:rsidRPr="007550C1" w:rsidR="00F737B8">
        <w:rPr>
          <w:rFonts w:ascii="Arial" w:hAnsi="Arial" w:cs="Arial"/>
          <w:sz w:val="20"/>
          <w:szCs w:val="20"/>
        </w:rPr>
        <w:t>12.2</w:t>
      </w:r>
      <w:r w:rsidRPr="007550C1">
        <w:rPr>
          <w:rFonts w:ascii="Arial" w:hAnsi="Arial" w:cs="Arial"/>
          <w:sz w:val="20"/>
          <w:szCs w:val="20"/>
        </w:rPr>
        <w:t>%) but is longer in route length (</w:t>
      </w:r>
      <w:r w:rsidRPr="007550C1" w:rsidR="00F737B8">
        <w:rPr>
          <w:rFonts w:ascii="Arial" w:hAnsi="Arial" w:cs="Arial"/>
          <w:sz w:val="20"/>
          <w:szCs w:val="20"/>
        </w:rPr>
        <w:t>5.15</w:t>
      </w:r>
      <w:r w:rsidRPr="007550C1">
        <w:rPr>
          <w:rFonts w:ascii="Arial" w:hAnsi="Arial" w:cs="Arial"/>
          <w:sz w:val="20"/>
          <w:szCs w:val="20"/>
        </w:rPr>
        <w:t xml:space="preserve"> miles).  Route</w:t>
      </w:r>
      <w:r w:rsidRPr="007550C1" w:rsidR="0029665E">
        <w:rPr>
          <w:rFonts w:ascii="Arial" w:hAnsi="Arial" w:cs="Arial"/>
          <w:sz w:val="20"/>
          <w:szCs w:val="20"/>
        </w:rPr>
        <w:t xml:space="preserve"> </w:t>
      </w:r>
      <w:r w:rsidRPr="007550C1" w:rsidR="00F737B8">
        <w:rPr>
          <w:rFonts w:ascii="Arial" w:hAnsi="Arial" w:cs="Arial"/>
          <w:sz w:val="20"/>
          <w:szCs w:val="20"/>
        </w:rPr>
        <w:t>7</w:t>
      </w:r>
      <w:r w:rsidRPr="007550C1" w:rsidR="0029665E">
        <w:rPr>
          <w:rFonts w:ascii="Arial" w:hAnsi="Arial" w:cs="Arial"/>
          <w:sz w:val="20"/>
          <w:szCs w:val="20"/>
        </w:rPr>
        <w:t xml:space="preserve">3 </w:t>
      </w:r>
      <w:r w:rsidRPr="007550C1">
        <w:rPr>
          <w:rFonts w:ascii="Arial" w:hAnsi="Arial" w:cs="Arial"/>
          <w:sz w:val="20"/>
          <w:szCs w:val="20"/>
        </w:rPr>
        <w:t>had the lowest percentage (</w:t>
      </w:r>
      <w:r w:rsidRPr="007550C1" w:rsidR="0029665E">
        <w:rPr>
          <w:rFonts w:ascii="Arial" w:hAnsi="Arial" w:cs="Arial"/>
          <w:sz w:val="20"/>
          <w:szCs w:val="20"/>
        </w:rPr>
        <w:t>6.</w:t>
      </w:r>
      <w:r w:rsidRPr="007550C1" w:rsidR="00F737B8">
        <w:rPr>
          <w:rFonts w:ascii="Arial" w:hAnsi="Arial" w:cs="Arial"/>
          <w:sz w:val="20"/>
          <w:szCs w:val="20"/>
        </w:rPr>
        <w:t>4</w:t>
      </w:r>
      <w:r w:rsidRPr="007550C1">
        <w:rPr>
          <w:rFonts w:ascii="Arial" w:hAnsi="Arial" w:cs="Arial"/>
          <w:sz w:val="20"/>
          <w:szCs w:val="20"/>
        </w:rPr>
        <w:t xml:space="preserve">%) of its route length within existing Oncor </w:t>
      </w:r>
      <w:r w:rsidRPr="007550C1" w:rsidR="009C0C95">
        <w:rPr>
          <w:rFonts w:ascii="Arial" w:hAnsi="Arial" w:cs="Arial"/>
          <w:sz w:val="20"/>
          <w:szCs w:val="20"/>
        </w:rPr>
        <w:t>ROW</w:t>
      </w:r>
      <w:r w:rsidRPr="007550C1">
        <w:rPr>
          <w:rFonts w:ascii="Arial" w:hAnsi="Arial" w:cs="Arial"/>
          <w:sz w:val="20"/>
          <w:szCs w:val="20"/>
        </w:rPr>
        <w:t xml:space="preserve">; </w:t>
      </w:r>
    </w:p>
    <w:bookmarkEnd w:id="6"/>
    <w:bookmarkEnd w:id="7"/>
    <w:p w:rsidRPr="008202CA" w:rsidR="006167E1" w:rsidP="008202CA" w:rsidRDefault="006167E1" w14:paraId="312EBEE6" w14:textId="77777777">
      <w:pPr>
        <w:numPr>
          <w:ilvl w:val="0"/>
          <w:numId w:val="1"/>
        </w:numPr>
        <w:tabs>
          <w:tab w:val="clear" w:pos="1560"/>
          <w:tab w:val="num" w:pos="720"/>
        </w:tabs>
        <w:spacing w:line="276" w:lineRule="auto"/>
        <w:ind w:left="720"/>
        <w:jc w:val="both"/>
        <w:rPr>
          <w:rFonts w:ascii="Arial" w:hAnsi="Arial" w:cs="Arial"/>
          <w:sz w:val="20"/>
          <w:szCs w:val="20"/>
        </w:rPr>
      </w:pPr>
      <w:r w:rsidRPr="008202CA">
        <w:rPr>
          <w:rFonts w:ascii="Arial" w:hAnsi="Arial" w:cs="Arial"/>
          <w:sz w:val="20"/>
          <w:szCs w:val="20"/>
        </w:rPr>
        <w:t xml:space="preserve">Route 10 has 1,941 feet of its route through commercial/industrial areas.  </w:t>
      </w:r>
      <w:bookmarkStart w:name="_Hlk134021159" w:id="9"/>
      <w:r w:rsidRPr="008202CA">
        <w:rPr>
          <w:rFonts w:ascii="Arial" w:hAnsi="Arial" w:cs="Arial"/>
          <w:sz w:val="20"/>
          <w:szCs w:val="20"/>
        </w:rPr>
        <w:t>Route lengths through commercial/industrial areas vary from 1,748 feet (Route 123) to 2,398 feet (Route 4)</w:t>
      </w:r>
      <w:bookmarkEnd w:id="9"/>
      <w:r w:rsidRPr="008202CA">
        <w:rPr>
          <w:rFonts w:ascii="Arial" w:hAnsi="Arial" w:cs="Arial"/>
          <w:sz w:val="20"/>
          <w:szCs w:val="20"/>
        </w:rPr>
        <w:t xml:space="preserve">; </w:t>
      </w:r>
    </w:p>
    <w:p w:rsidRPr="008202CA" w:rsidR="006167E1" w:rsidP="008202CA" w:rsidRDefault="006167E1" w14:paraId="695E4AA7" w14:textId="77777777">
      <w:pPr>
        <w:numPr>
          <w:ilvl w:val="0"/>
          <w:numId w:val="1"/>
        </w:numPr>
        <w:tabs>
          <w:tab w:val="clear" w:pos="1560"/>
          <w:tab w:val="num" w:pos="720"/>
        </w:tabs>
        <w:spacing w:line="276" w:lineRule="auto"/>
        <w:ind w:left="720"/>
        <w:jc w:val="both"/>
        <w:rPr>
          <w:rFonts w:ascii="Arial" w:hAnsi="Arial" w:cs="Arial"/>
          <w:sz w:val="20"/>
          <w:szCs w:val="20"/>
        </w:rPr>
      </w:pPr>
      <w:r w:rsidRPr="008202CA">
        <w:rPr>
          <w:rFonts w:ascii="Arial" w:hAnsi="Arial" w:cs="Arial"/>
          <w:sz w:val="20"/>
          <w:szCs w:val="20"/>
        </w:rPr>
        <w:t>Route 10 crosses 21,458 feet of rangeland pasture.  Route lengths crossing rangeland pasture vary from 19,374 feet (Route 61) to 25,844 feet (Route 123);</w:t>
      </w:r>
    </w:p>
    <w:p w:rsidRPr="008202CA" w:rsidR="006167E1" w:rsidP="008202CA" w:rsidRDefault="006167E1" w14:paraId="6162E559" w14:textId="521E338C">
      <w:pPr>
        <w:numPr>
          <w:ilvl w:val="0"/>
          <w:numId w:val="1"/>
        </w:numPr>
        <w:tabs>
          <w:tab w:val="clear" w:pos="1560"/>
          <w:tab w:val="num" w:pos="720"/>
        </w:tabs>
        <w:spacing w:line="276" w:lineRule="auto"/>
        <w:ind w:left="720"/>
        <w:jc w:val="both"/>
        <w:rPr>
          <w:rFonts w:ascii="Arial" w:hAnsi="Arial" w:cs="Arial"/>
          <w:sz w:val="20"/>
          <w:szCs w:val="20"/>
        </w:rPr>
      </w:pPr>
      <w:r w:rsidRPr="008202CA">
        <w:rPr>
          <w:rFonts w:ascii="Arial" w:hAnsi="Arial" w:cs="Arial"/>
          <w:color w:val="000000"/>
          <w:sz w:val="20"/>
          <w:szCs w:val="20"/>
        </w:rPr>
        <w:t xml:space="preserve">Route 10 crosses no parks/recreational areas, does not have any parks/recreational areas within 1,000 feet of its centerline, and does not have any length of </w:t>
      </w:r>
      <w:r w:rsidRPr="008202CA">
        <w:rPr>
          <w:rFonts w:ascii="Arial" w:hAnsi="Arial" w:cs="Arial"/>
          <w:sz w:val="20"/>
          <w:szCs w:val="20"/>
        </w:rPr>
        <w:t xml:space="preserve">ROW </w:t>
      </w:r>
      <w:r w:rsidRPr="008202CA">
        <w:rPr>
          <w:rFonts w:ascii="Arial" w:hAnsi="Arial" w:cs="Arial"/>
          <w:color w:val="000000"/>
          <w:sz w:val="20"/>
          <w:szCs w:val="20"/>
        </w:rPr>
        <w:t>within a foreground visual zone (0.5 mile of unobstructed view) of any parks/recreational area</w:t>
      </w:r>
      <w:r w:rsidR="00DC1BD4">
        <w:rPr>
          <w:rFonts w:ascii="Arial" w:hAnsi="Arial" w:cs="Arial"/>
          <w:color w:val="000000"/>
          <w:sz w:val="20"/>
          <w:szCs w:val="20"/>
        </w:rPr>
        <w:t>s</w:t>
      </w:r>
      <w:r w:rsidRPr="008202CA">
        <w:rPr>
          <w:rFonts w:ascii="Arial" w:hAnsi="Arial" w:cs="Arial"/>
          <w:color w:val="000000"/>
          <w:sz w:val="20"/>
          <w:szCs w:val="20"/>
        </w:rPr>
        <w:t xml:space="preserve">.  </w:t>
      </w:r>
      <w:r w:rsidRPr="008202CA">
        <w:rPr>
          <w:rFonts w:ascii="Arial" w:hAnsi="Arial" w:cs="Arial"/>
          <w:sz w:val="20"/>
          <w:szCs w:val="20"/>
        </w:rPr>
        <w:t xml:space="preserve">Because there are no parks/recreational areas within the study area, all alternative filed routes </w:t>
      </w:r>
      <w:r w:rsidRPr="008202CA">
        <w:rPr>
          <w:rFonts w:ascii="Arial" w:hAnsi="Arial" w:cs="Arial"/>
          <w:color w:val="000000"/>
          <w:sz w:val="20"/>
          <w:szCs w:val="20"/>
        </w:rPr>
        <w:t>share these characteristics;</w:t>
      </w:r>
    </w:p>
    <w:p w:rsidRPr="008202CA" w:rsidR="006167E1" w:rsidP="008202CA" w:rsidRDefault="006167E1" w14:paraId="2A056AC3" w14:textId="77777777">
      <w:pPr>
        <w:numPr>
          <w:ilvl w:val="0"/>
          <w:numId w:val="1"/>
        </w:numPr>
        <w:tabs>
          <w:tab w:val="clear" w:pos="1560"/>
          <w:tab w:val="num" w:pos="720"/>
        </w:tabs>
        <w:spacing w:line="276" w:lineRule="auto"/>
        <w:ind w:left="720"/>
        <w:jc w:val="both"/>
        <w:rPr>
          <w:rFonts w:ascii="Arial" w:hAnsi="Arial" w:cs="Arial"/>
          <w:sz w:val="20"/>
          <w:szCs w:val="20"/>
        </w:rPr>
      </w:pPr>
      <w:bookmarkStart w:name="_Hlk141921075" w:id="10"/>
      <w:r w:rsidRPr="008202CA">
        <w:rPr>
          <w:rFonts w:ascii="Arial" w:hAnsi="Arial" w:cs="Arial"/>
          <w:sz w:val="20"/>
          <w:szCs w:val="20"/>
        </w:rPr>
        <w:t>Route 10 has no length of its route across potential wetlands.  No filed route crosses potential wetlands;</w:t>
      </w:r>
    </w:p>
    <w:bookmarkEnd w:id="10"/>
    <w:p w:rsidRPr="008202CA" w:rsidR="006167E1" w:rsidP="008202CA" w:rsidRDefault="006167E1" w14:paraId="2CDD961B" w14:textId="77777777">
      <w:pPr>
        <w:numPr>
          <w:ilvl w:val="0"/>
          <w:numId w:val="1"/>
        </w:numPr>
        <w:tabs>
          <w:tab w:val="clear" w:pos="1560"/>
          <w:tab w:val="num" w:pos="720"/>
        </w:tabs>
        <w:spacing w:line="276" w:lineRule="auto"/>
        <w:ind w:left="720"/>
        <w:jc w:val="both"/>
        <w:rPr>
          <w:rFonts w:ascii="Arial" w:hAnsi="Arial" w:cs="Arial"/>
          <w:sz w:val="20"/>
          <w:szCs w:val="20"/>
        </w:rPr>
      </w:pPr>
      <w:r w:rsidRPr="008202CA">
        <w:rPr>
          <w:rFonts w:ascii="Arial" w:hAnsi="Arial" w:cs="Arial"/>
          <w:sz w:val="20"/>
          <w:szCs w:val="20"/>
        </w:rPr>
        <w:t>Route 10 has no streams crossed by its centerline.  No filed route crosses a stream;</w:t>
      </w:r>
    </w:p>
    <w:p w:rsidRPr="008202CA" w:rsidR="006167E1" w:rsidP="008202CA" w:rsidRDefault="006167E1" w14:paraId="4BD4466D" w14:textId="77777777">
      <w:pPr>
        <w:numPr>
          <w:ilvl w:val="0"/>
          <w:numId w:val="1"/>
        </w:numPr>
        <w:tabs>
          <w:tab w:val="clear" w:pos="1560"/>
          <w:tab w:val="num" w:pos="720"/>
        </w:tabs>
        <w:spacing w:line="276" w:lineRule="auto"/>
        <w:ind w:left="720"/>
        <w:jc w:val="both"/>
        <w:rPr>
          <w:rFonts w:ascii="Arial" w:hAnsi="Arial" w:cs="Arial"/>
          <w:sz w:val="20"/>
          <w:szCs w:val="20"/>
        </w:rPr>
      </w:pPr>
      <w:r w:rsidRPr="008202CA">
        <w:rPr>
          <w:rFonts w:ascii="Arial" w:hAnsi="Arial" w:cs="Arial"/>
          <w:sz w:val="20"/>
          <w:szCs w:val="20"/>
        </w:rPr>
        <w:t>Route 10 has no length of its route parallel to streams (within 100 feet), and there are no routes with any length parallel to streams (within 100 feet) included in the Application;</w:t>
      </w:r>
    </w:p>
    <w:p w:rsidRPr="008202CA" w:rsidR="006167E1" w:rsidP="008202CA" w:rsidRDefault="006167E1" w14:paraId="299E9B6A" w14:textId="77777777">
      <w:pPr>
        <w:numPr>
          <w:ilvl w:val="0"/>
          <w:numId w:val="1"/>
        </w:numPr>
        <w:tabs>
          <w:tab w:val="clear" w:pos="1560"/>
          <w:tab w:val="num" w:pos="720"/>
        </w:tabs>
        <w:spacing w:line="276" w:lineRule="auto"/>
        <w:ind w:left="720"/>
        <w:jc w:val="both"/>
        <w:rPr>
          <w:rFonts w:ascii="Arial" w:hAnsi="Arial" w:cs="Arial"/>
          <w:sz w:val="20"/>
          <w:szCs w:val="20"/>
        </w:rPr>
      </w:pPr>
      <w:r w:rsidRPr="008202CA">
        <w:rPr>
          <w:rFonts w:ascii="Arial" w:hAnsi="Arial" w:cs="Arial"/>
          <w:sz w:val="20"/>
          <w:szCs w:val="20"/>
        </w:rPr>
        <w:t xml:space="preserve">Route 10 has no length of its route across lakes or ponds (open waters).  No filed route crosses lakes or ponds (open waters); </w:t>
      </w:r>
    </w:p>
    <w:p w:rsidRPr="008202CA" w:rsidR="006167E1" w:rsidP="008202CA" w:rsidRDefault="006167E1" w14:paraId="44BD06DA" w14:textId="77777777">
      <w:pPr>
        <w:numPr>
          <w:ilvl w:val="0"/>
          <w:numId w:val="1"/>
        </w:numPr>
        <w:tabs>
          <w:tab w:val="clear" w:pos="1560"/>
        </w:tabs>
        <w:spacing w:line="276" w:lineRule="auto"/>
        <w:ind w:left="720"/>
        <w:jc w:val="both"/>
        <w:rPr>
          <w:rFonts w:ascii="Arial" w:hAnsi="Arial" w:cs="Arial"/>
          <w:color w:val="000000"/>
          <w:sz w:val="20"/>
          <w:szCs w:val="20"/>
        </w:rPr>
      </w:pPr>
      <w:r w:rsidRPr="008202CA">
        <w:rPr>
          <w:rFonts w:ascii="Arial" w:hAnsi="Arial" w:cs="Arial"/>
          <w:color w:val="000000"/>
          <w:sz w:val="20"/>
          <w:szCs w:val="20"/>
        </w:rPr>
        <w:t>Route 10 has no recorded cultural resource site crossed by its centerline.  No filed route has a recorded cultural resource site crossed by its centerline;</w:t>
      </w:r>
    </w:p>
    <w:p w:rsidRPr="008202CA" w:rsidR="006167E1" w:rsidP="008202CA" w:rsidRDefault="006167E1" w14:paraId="22BCAEC4" w14:textId="4A95B9EC">
      <w:pPr>
        <w:numPr>
          <w:ilvl w:val="0"/>
          <w:numId w:val="1"/>
        </w:numPr>
        <w:tabs>
          <w:tab w:val="clear" w:pos="1560"/>
          <w:tab w:val="num" w:pos="720"/>
        </w:tabs>
        <w:spacing w:line="276" w:lineRule="auto"/>
        <w:ind w:left="720"/>
        <w:jc w:val="both"/>
        <w:rPr>
          <w:rFonts w:ascii="Arial" w:hAnsi="Arial" w:cs="Arial"/>
          <w:sz w:val="20"/>
          <w:szCs w:val="20"/>
        </w:rPr>
      </w:pPr>
      <w:r w:rsidRPr="008202CA">
        <w:rPr>
          <w:rFonts w:ascii="Arial" w:hAnsi="Arial" w:cs="Arial"/>
          <w:sz w:val="20"/>
          <w:szCs w:val="20"/>
        </w:rPr>
        <w:t xml:space="preserve">Route 10 has: (i) no private airstrip or FAA-registered airport with </w:t>
      </w:r>
      <w:r w:rsidR="00127232">
        <w:rPr>
          <w:rFonts w:ascii="Arial" w:hAnsi="Arial" w:cs="Arial"/>
          <w:sz w:val="20"/>
          <w:szCs w:val="20"/>
        </w:rPr>
        <w:t>all</w:t>
      </w:r>
      <w:r w:rsidRPr="008202CA">
        <w:rPr>
          <w:rFonts w:ascii="Arial" w:hAnsi="Arial" w:cs="Arial"/>
          <w:sz w:val="20"/>
          <w:szCs w:val="20"/>
        </w:rPr>
        <w:t xml:space="preserve"> runway</w:t>
      </w:r>
      <w:r w:rsidR="00127232">
        <w:rPr>
          <w:rFonts w:ascii="Arial" w:hAnsi="Arial" w:cs="Arial"/>
          <w:sz w:val="20"/>
          <w:szCs w:val="20"/>
        </w:rPr>
        <w:t>s</w:t>
      </w:r>
      <w:r w:rsidRPr="008202CA">
        <w:rPr>
          <w:rFonts w:ascii="Arial" w:hAnsi="Arial" w:cs="Arial"/>
          <w:sz w:val="20"/>
          <w:szCs w:val="20"/>
        </w:rPr>
        <w:t xml:space="preserve"> 3,200 feet or less within 10,000 feet of the centerline along its entire length; (ii) no FAA-registered airport with a runway greater than 3,200 feet within 20,000 feet of the centerline along its entire length; and (iii) no heliport within 5,000 feet of its centerline.  All alternative filed routes </w:t>
      </w:r>
      <w:r w:rsidRPr="008202CA">
        <w:rPr>
          <w:rFonts w:ascii="Arial" w:hAnsi="Arial" w:cs="Arial"/>
          <w:color w:val="000000"/>
          <w:sz w:val="20"/>
          <w:szCs w:val="20"/>
        </w:rPr>
        <w:t>share these characteristics</w:t>
      </w:r>
      <w:r w:rsidRPr="008202CA">
        <w:rPr>
          <w:rFonts w:ascii="Arial" w:hAnsi="Arial" w:cs="Arial"/>
          <w:sz w:val="20"/>
          <w:szCs w:val="20"/>
        </w:rPr>
        <w:t>;</w:t>
      </w:r>
    </w:p>
    <w:p w:rsidRPr="008202CA" w:rsidR="006167E1" w:rsidP="008202CA" w:rsidRDefault="006167E1" w14:paraId="3B895950" w14:textId="77777777">
      <w:pPr>
        <w:numPr>
          <w:ilvl w:val="0"/>
          <w:numId w:val="1"/>
        </w:numPr>
        <w:tabs>
          <w:tab w:val="clear" w:pos="1560"/>
          <w:tab w:val="num" w:pos="720"/>
        </w:tabs>
        <w:spacing w:line="276" w:lineRule="auto"/>
        <w:ind w:left="720"/>
        <w:jc w:val="both"/>
        <w:rPr>
          <w:rFonts w:ascii="Arial" w:hAnsi="Arial" w:cs="Arial"/>
          <w:sz w:val="20"/>
          <w:szCs w:val="20"/>
        </w:rPr>
      </w:pPr>
      <w:r w:rsidRPr="008202CA">
        <w:rPr>
          <w:rFonts w:ascii="Arial" w:hAnsi="Arial" w:cs="Arial"/>
          <w:sz w:val="20"/>
          <w:szCs w:val="20"/>
        </w:rPr>
        <w:t>Route 10 has one electronic installation within 2,000 feet of its centerline.  T</w:t>
      </w:r>
      <w:bookmarkStart w:name="_Hlk133963568" w:id="11"/>
      <w:r w:rsidRPr="008202CA">
        <w:rPr>
          <w:rFonts w:ascii="Arial" w:hAnsi="Arial" w:cs="Arial"/>
          <w:sz w:val="20"/>
          <w:szCs w:val="20"/>
        </w:rPr>
        <w:t xml:space="preserve">he range in electronic installations within 2,000 feet of the alternative filed route centerlines varies from 0 to </w:t>
      </w:r>
      <w:bookmarkEnd w:id="11"/>
      <w:r w:rsidRPr="008202CA">
        <w:rPr>
          <w:rFonts w:ascii="Arial" w:hAnsi="Arial" w:cs="Arial"/>
          <w:sz w:val="20"/>
          <w:szCs w:val="20"/>
        </w:rPr>
        <w:t>1;</w:t>
      </w:r>
    </w:p>
    <w:p w:rsidRPr="008202CA" w:rsidR="006167E1" w:rsidP="008202CA" w:rsidRDefault="006167E1" w14:paraId="1F34302D" w14:textId="77777777">
      <w:pPr>
        <w:numPr>
          <w:ilvl w:val="0"/>
          <w:numId w:val="2"/>
        </w:numPr>
        <w:spacing w:line="276" w:lineRule="auto"/>
        <w:ind w:left="720"/>
        <w:jc w:val="both"/>
        <w:rPr>
          <w:rFonts w:ascii="Arial" w:hAnsi="Arial" w:cs="Arial"/>
          <w:color w:val="000000"/>
          <w:sz w:val="20"/>
          <w:szCs w:val="20"/>
        </w:rPr>
      </w:pPr>
      <w:r w:rsidRPr="008202CA">
        <w:rPr>
          <w:rFonts w:ascii="Arial" w:hAnsi="Arial" w:cs="Arial"/>
          <w:sz w:val="20"/>
          <w:szCs w:val="20"/>
        </w:rPr>
        <w:t xml:space="preserve">Route 10 crosses one State Highway, SH Loop 338, along its entire length.  </w:t>
      </w:r>
      <w:r w:rsidRPr="008202CA">
        <w:rPr>
          <w:rFonts w:ascii="Arial" w:hAnsi="Arial" w:cs="Arial"/>
          <w:color w:val="000000"/>
          <w:sz w:val="20"/>
          <w:szCs w:val="20"/>
        </w:rPr>
        <w:t>Due to the locations of the Reiter Switch and Tesoro Switch stations, all routes cross SH Loop 338;</w:t>
      </w:r>
    </w:p>
    <w:p w:rsidRPr="008202CA" w:rsidR="006167E1" w:rsidP="008202CA" w:rsidRDefault="006167E1" w14:paraId="3028E738" w14:textId="77777777">
      <w:pPr>
        <w:numPr>
          <w:ilvl w:val="0"/>
          <w:numId w:val="1"/>
        </w:numPr>
        <w:tabs>
          <w:tab w:val="clear" w:pos="1560"/>
          <w:tab w:val="num" w:pos="720"/>
        </w:tabs>
        <w:spacing w:line="276" w:lineRule="auto"/>
        <w:ind w:left="720"/>
        <w:jc w:val="both"/>
        <w:rPr>
          <w:rFonts w:ascii="Arial" w:hAnsi="Arial" w:cs="Arial"/>
          <w:sz w:val="20"/>
          <w:szCs w:val="20"/>
        </w:rPr>
      </w:pPr>
      <w:r w:rsidRPr="008202CA">
        <w:rPr>
          <w:rFonts w:ascii="Arial" w:hAnsi="Arial" w:cs="Arial"/>
          <w:sz w:val="20"/>
          <w:szCs w:val="20"/>
        </w:rPr>
        <w:lastRenderedPageBreak/>
        <w:t>Route 10 crosses one Farm-to-Market (“FM”) road, county road or other street along its entire length.  All filed routes have one FM, county road or other street crossing;</w:t>
      </w:r>
    </w:p>
    <w:p w:rsidRPr="008202CA" w:rsidR="006167E1" w:rsidP="008202CA" w:rsidRDefault="006167E1" w14:paraId="2C3B2404" w14:textId="3D5D0FA4">
      <w:pPr>
        <w:numPr>
          <w:ilvl w:val="0"/>
          <w:numId w:val="1"/>
        </w:numPr>
        <w:tabs>
          <w:tab w:val="clear" w:pos="1560"/>
          <w:tab w:val="num" w:pos="720"/>
        </w:tabs>
        <w:spacing w:line="276" w:lineRule="auto"/>
        <w:ind w:left="720"/>
        <w:jc w:val="both"/>
        <w:rPr>
          <w:rFonts w:ascii="Arial" w:hAnsi="Arial" w:cs="Arial"/>
          <w:sz w:val="20"/>
          <w:szCs w:val="20"/>
        </w:rPr>
      </w:pPr>
      <w:r w:rsidRPr="008202CA">
        <w:rPr>
          <w:rFonts w:ascii="Arial" w:hAnsi="Arial" w:cs="Arial"/>
          <w:sz w:val="20"/>
          <w:szCs w:val="20"/>
        </w:rPr>
        <w:t xml:space="preserve">Route 10 has 5,281 feet of estimated ROW length within the foreground visual zone (0.5 mile of unobstructed view) of US and SH, which is the least (along with Route 7) among all filed routes.  The filed routes range in estimated ROW length within the foreground visual zone of US and SH </w:t>
      </w:r>
      <w:r w:rsidR="00E47FBA">
        <w:rPr>
          <w:rFonts w:ascii="Arial" w:hAnsi="Arial" w:cs="Arial"/>
          <w:sz w:val="20"/>
          <w:szCs w:val="20"/>
        </w:rPr>
        <w:t>from</w:t>
      </w:r>
      <w:r w:rsidRPr="008202CA">
        <w:rPr>
          <w:rFonts w:ascii="Arial" w:hAnsi="Arial" w:cs="Arial"/>
          <w:sz w:val="20"/>
          <w:szCs w:val="20"/>
        </w:rPr>
        <w:t xml:space="preserve"> 5,281 feet to 16,558 feet; and</w:t>
      </w:r>
    </w:p>
    <w:p w:rsidRPr="008202CA" w:rsidR="006167E1" w:rsidP="008202CA" w:rsidRDefault="006167E1" w14:paraId="73E16AAB" w14:textId="77777777">
      <w:pPr>
        <w:pStyle w:val="CommentText"/>
        <w:numPr>
          <w:ilvl w:val="0"/>
          <w:numId w:val="1"/>
        </w:numPr>
        <w:tabs>
          <w:tab w:val="clear" w:pos="1560"/>
          <w:tab w:val="num" w:pos="720"/>
        </w:tabs>
        <w:spacing w:line="276" w:lineRule="auto"/>
        <w:ind w:left="720"/>
        <w:jc w:val="both"/>
        <w:rPr>
          <w:rFonts w:ascii="Arial" w:hAnsi="Arial" w:cs="Arial"/>
        </w:rPr>
      </w:pPr>
      <w:r w:rsidRPr="008202CA">
        <w:rPr>
          <w:rFonts w:ascii="Arial" w:hAnsi="Arial" w:cs="Arial"/>
        </w:rPr>
        <w:t>Route 10 has been judged to be feasible from an engineering perspective based on currently known conditions, without the benefit of on-the-ground and subsurface surveys. There are no currently-identifiable engineering constraints that impact this alternative route that cannot be addressed with additional consideration by Oncor during the engineering and construction processes.</w:t>
      </w:r>
    </w:p>
    <w:p w:rsidRPr="008202CA" w:rsidR="006167E1" w:rsidP="008202CA" w:rsidRDefault="006167E1" w14:paraId="29C60B52" w14:textId="77777777">
      <w:pPr>
        <w:spacing w:line="276" w:lineRule="auto"/>
        <w:ind w:firstLine="720"/>
        <w:jc w:val="both"/>
        <w:rPr>
          <w:rFonts w:ascii="Arial" w:hAnsi="Arial" w:cs="Arial"/>
          <w:color w:val="FF0000"/>
          <w:sz w:val="20"/>
          <w:szCs w:val="20"/>
        </w:rPr>
      </w:pPr>
    </w:p>
    <w:p w:rsidRPr="008202CA" w:rsidR="00D73A68" w:rsidP="00DF4813" w:rsidRDefault="006167E1" w14:paraId="41DE9C63" w14:textId="45FF32B4">
      <w:pPr>
        <w:spacing w:line="276" w:lineRule="auto"/>
        <w:jc w:val="both"/>
        <w:rPr>
          <w:rFonts w:ascii="Arial" w:hAnsi="Arial" w:cs="Arial"/>
          <w:sz w:val="20"/>
          <w:szCs w:val="20"/>
        </w:rPr>
      </w:pPr>
      <w:r w:rsidRPr="008202CA">
        <w:rPr>
          <w:rFonts w:ascii="Arial" w:hAnsi="Arial" w:cs="Arial"/>
          <w:sz w:val="20"/>
          <w:szCs w:val="20"/>
        </w:rPr>
        <w:t xml:space="preserve">Additional information concerning the issues addressed in this Memorandum can be found in the Environmental Assessment and Routing Study, included as Attachment No. 1 to the CCN Application, as well as my direct testimony filed concurrently with the CCN Application.  </w:t>
      </w:r>
    </w:p>
    <w:sectPr w:rsidRPr="008202CA" w:rsidR="00D73A68" w:rsidSect="001C07E5">
      <w:headerReference w:type="even" r:id="rId8"/>
      <w:headerReference w:type="default" r:id="rId9"/>
      <w:footerReference w:type="even" r:id="rId10"/>
      <w:footerReference w:type="default" r:id="rId11"/>
      <w:headerReference w:type="first" r:id="rId12"/>
      <w:footerReference w:type="first" r:id="rId13"/>
      <w:pgSz w:w="12240" w:h="15840"/>
      <w:pgMar w:top="2160" w:right="1440" w:bottom="1728" w:left="1440" w:header="1152" w:footer="86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F1115C" w:rsidP="00724FB0" w:rsidRDefault="00F1115C" w14:paraId="0F4E1E69" w14:textId="77777777">
      <w:r>
        <w:separator/>
      </w:r>
    </w:p>
  </w:endnote>
  <w:endnote w:type="continuationSeparator" w:id="0">
    <w:p w:rsidR="00F1115C" w:rsidP="00724FB0" w:rsidRDefault="00F1115C" w14:paraId="407F9A26"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Neue">
    <w:altName w:val="Sylfaen"/>
    <w:charset w:val="00"/>
    <w:family w:val="auto"/>
    <w:pitch w:val="variable"/>
    <w:sig w:usb0="E50002FF" w:usb1="500079DB" w:usb2="0000001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2E620E" w:rsidR="00DF4813" w:rsidP="002E620E" w:rsidRDefault="0078085B" w14:paraId="3F90FB35" w14:textId="1F0126D7">
    <w:pPr>
      <w:pStyle w:val="Footer"/>
    </w:pPr>
    <w:r w:rsidRPr="0078085B">
      <w:rPr>
        <w:rStyle w:val="DocID"/>
      </w:rPr>
      <w:t>4891-8031-7906v.1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2E620E" w:rsidRDefault="002E620E" w14:paraId="7130FED4" w14:textId="66C2F388">
    <w:pPr>
      <w:pStyle w:val="Footer"/>
    </w:pPr>
  </w:p>
</w:ftr>
</file>

<file path=word/footer3.xml><?xml version="1.0" encoding="utf-8"?>
<w:ftr xmlns:a="http://schemas.openxmlformats.org/drawingml/2006/main"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8C2941" w:rsidR="008C2941" w:rsidP="008C2941" w:rsidRDefault="008C2941" w14:paraId="775D23EE" w14:textId="46A78296">
    <w:pPr>
      <w:spacing w:after="120"/>
      <w:rPr>
        <w:rFonts w:ascii="Arial" w:hAnsi="Arial" w:cs="Arial"/>
        <w:color w:val="007B9A"/>
        <w:sz w:val="15"/>
        <w:szCs w:val="15"/>
      </w:rPr>
    </w:pPr>
    <w:r w:rsidRPr="008C2941">
      <w:rPr>
        <w:rFonts w:ascii="Arial" w:hAnsi="Arial" w:cs="Arial"/>
        <w:color w:val="007B9A"/>
        <w:sz w:val="15"/>
        <w:szCs w:val="15"/>
      </w:rPr>
      <w:t>Oncor | Think Big. Think Texas.</w:t>
    </w:r>
  </w:p>
  <w:p w:rsidRPr="00330416" w:rsidR="00EE4C21" w:rsidP="008202CA" w:rsidRDefault="00EE4C21" w14:paraId="136A1412" w14:textId="6D629136">
    <w:pPr>
      <w:tabs>
        <w:tab w:val="left" w:pos="7440"/>
      </w:tabs>
      <w:rPr>
        <w:rFonts w:ascii="Arial" w:hAnsi="Arial" w:cs="Arial"/>
        <w:color w:val="000000" w:themeColor="text1"/>
        <w:sz w:val="15"/>
        <w:szCs w:val="15"/>
      </w:rPr>
    </w:pPr>
    <w:r w:rsidRPr="00330416">
      <w:rPr>
        <w:rFonts w:ascii="Arial" w:hAnsi="Arial" w:cs="Arial"/>
        <w:color w:val="000000" w:themeColor="text1"/>
        <w:sz w:val="15"/>
        <w:szCs w:val="15"/>
      </w:rPr>
      <w:t>1616 Woodall Rodgers Freeway, Dallas, Texas 75202</w:t>
    </w:r>
    <w:r w:rsidR="008202CA">
      <w:rPr>
        <w:rFonts w:ascii="Arial" w:hAnsi="Arial" w:cs="Arial"/>
        <w:color w:val="000000" w:themeColor="text1"/>
        <w:sz w:val="15"/>
        <w:szCs w:val="15"/>
      </w:rPr>
      <w:tab/>
    </w:r>
  </w:p>
  <w:p w:rsidRPr="00EE4C21" w:rsidR="002E620E" w:rsidP="008202CA" w:rsidRDefault="008202CA" w14:paraId="1B98DF8F" w14:textId="65A11EE2">
    <w:pPr>
      <w:tabs>
        <w:tab w:val="center" w:pos="4680"/>
      </w:tabs>
      <w:rPr>
        <w:rFonts w:ascii="Arial" w:hAnsi="Arial" w:cs="Arial"/>
        <w:color w:val="000000" w:themeColor="text1"/>
        <w:sz w:val="15"/>
        <w:szCs w:val="15"/>
      </w:rPr>
    </w:pPr>
    <w:r w:rsidRPr="008202CA">
      <w:rPr>
        <w:rFonts w:ascii="Arial" w:hAnsi="Arial" w:cs="Arial"/>
        <w:noProof/>
        <w:color w:val="000000" w:themeColor="text1"/>
        <w:sz w:val="15"/>
        <w:szCs w:val="15"/>
      </w:rPr>
      <mc:AlternateContent>
        <mc:Choice Requires="wps">
          <w:drawing>
            <wp:anchor distT="45720" distB="45720" distL="114300" distR="114300" simplePos="0" relativeHeight="251663360" behindDoc="0" locked="0" layoutInCell="1" allowOverlap="1" wp14:editId="33E7D60B" wp14:anchorId="0CDFF438">
              <wp:simplePos x="0" y="0"/>
              <wp:positionH relativeFrom="column">
                <wp:posOffset>4489450</wp:posOffset>
              </wp:positionH>
              <wp:positionV relativeFrom="paragraph">
                <wp:posOffset>207010</wp:posOffset>
              </wp:positionV>
              <wp:extent cx="1527048" cy="265176"/>
              <wp:effectExtent l="0" t="0" r="0" b="1905"/>
              <wp:wrapSquare wrapText="bothSides"/>
              <wp:docPr id="217" name="Text Box 2" descr="" titl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7048" cy="265176"/>
                      </a:xfrm>
                      <a:prstGeom prst="rect">
                        <a:avLst/>
                      </a:prstGeom>
                      <a:noFill/>
                      <a:ln w="9525">
                        <a:noFill/>
                        <a:miter lim="800000"/>
                        <a:headEnd/>
                        <a:tailEnd/>
                      </a:ln>
                    </wps:spPr>
                    <wps:txbx>
                      <w:txbxContent>
                        <w:p w:rsidRPr="008202CA" w:rsidR="008202CA" w:rsidP="008202CA" w:rsidRDefault="008202CA" w14:paraId="50B0C3C4" w14:textId="18461ED1">
                          <w:pPr>
                            <w:jc w:val="right"/>
                            <w:rPr>
                              <w:sz w:val="20"/>
                              <w:szCs w:val="20"/>
                            </w:rPr>
                          </w:pPr>
                          <w:r w:rsidRPr="008202CA">
                            <w:rPr>
                              <w:rFonts w:ascii="Arial" w:hAnsi="Arial" w:cs="Arial"/>
                              <w:color w:val="000000" w:themeColor="text1"/>
                              <w:sz w:val="20"/>
                              <w:szCs w:val="20"/>
                            </w:rPr>
                            <w:t>ATTACHMENT NO. 10</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w14:anchorId="0CDFF438">
              <v:stroke joinstyle="miter"/>
              <v:path gradientshapeok="t" o:connecttype="rect"/>
            </v:shapetype>
            <v:shape id="_x0000_s1027" style="position:absolute;margin-left:353.5pt;margin-top:16.3pt;width:120.25pt;height:20.9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alt=""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">
              <v:textbox>
                <w:txbxContent>
                  <w:p w:rsidRPr="008202CA" w:rsidR="008202CA" w:rsidP="008202CA" w:rsidRDefault="008202CA" w14:paraId="50B0C3C4" w14:textId="18461ED1">
                    <w:pPr>
                      <w:jc w:val="right"/>
                      <w:rPr>
                        <w:sz w:val="20"/>
                        <w:szCs w:val="20"/>
                      </w:rPr>
                    </w:pPr>
                    <w:r w:rsidRPr="008202CA">
                      <w:rPr>
                        <w:rFonts w:ascii="Arial" w:hAnsi="Arial" w:cs="Arial"/>
                        <w:color w:val="000000" w:themeColor="text1"/>
                        <w:sz w:val="20"/>
                        <w:szCs w:val="20"/>
                      </w:rPr>
                      <w:t>ATTACHMENT NO. 10</w:t>
                    </w:r>
                  </w:p>
                </w:txbxContent>
              </v:textbox>
              <w10:wrap type="square"/>
            </v:shape>
          </w:pict>
        </mc:Fallback>
      </mc:AlternateContent>
    </w:r>
    <w:r w:rsidRPr="00330416" w:rsidR="00EE4C21">
      <w:rPr>
        <w:rFonts w:ascii="Arial" w:hAnsi="Arial" w:cs="Arial"/>
        <w:color w:val="000000" w:themeColor="text1"/>
        <w:sz w:val="15"/>
        <w:szCs w:val="15"/>
      </w:rPr>
      <w:t>1.888.875.6279. |  Oncor.com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F1115C" w:rsidP="00724FB0" w:rsidRDefault="00F1115C" w14:paraId="1935D70C" w14:textId="77777777">
      <w:r>
        <w:separator/>
      </w:r>
    </w:p>
  </w:footnote>
  <w:footnote w:type="continuationSeparator" w:id="0">
    <w:p w:rsidR="00F1115C" w:rsidP="00724FB0" w:rsidRDefault="00F1115C" w14:paraId="0DA74EC0"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465A5F" w:rsidRDefault="00465A5F" w14:paraId="71333232" w14:textId="77777777">
    <w:pPr>
      <w:pStyle w:val="Header"/>
    </w:pPr>
  </w:p>
</w:hdr>
</file>

<file path=word/header2.xml><?xml version="1.0" encoding="utf-8"?>
<w:hdr xmlns:a="http://schemas.openxmlformats.org/drawingml/2006/main" xmlns:pic="http://schemas.openxmlformats.org/drawingml/2006/picture" xmlns:a14="http://schemas.microsoft.com/office/drawing/2010/main"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BD6D37" w:rsidRDefault="00DF4813" w14:paraId="0693D592" w14:textId="2623282D">
    <w:pPr>
      <w:pStyle w:val="Header"/>
    </w:pPr>
    <w:r w:rsidRPr="008202CA">
      <w:rPr>
        <w:rFonts w:ascii="Arial" w:hAnsi="Arial" w:cs="Arial"/>
        <w:noProof/>
        <w:color w:val="000000" w:themeColor="text1"/>
        <w:sz w:val="15"/>
        <w:szCs w:val="15"/>
      </w:rPr>
      <mc:AlternateContent>
        <mc:Choice Requires="wps">
          <w:drawing>
            <wp:anchor distT="45720" distB="45720" distL="114300" distR="114300" simplePos="0" relativeHeight="251665408" behindDoc="0" locked="0" layoutInCell="1" allowOverlap="1" wp14:editId="2DC903F1" wp14:anchorId="05851E54">
              <wp:simplePos x="0" y="0"/>
              <wp:positionH relativeFrom="margin">
                <wp:align>left</wp:align>
              </wp:positionH>
              <wp:positionV relativeFrom="paragraph">
                <wp:posOffset>-217170</wp:posOffset>
              </wp:positionV>
              <wp:extent cx="1526540" cy="387350"/>
              <wp:effectExtent l="0" t="0" r="0" b="0"/>
              <wp:wrapSquare wrapText="bothSides"/>
              <wp:docPr id="3" name="Text Box 2" descr="" titl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6540" cy="387350"/>
                      </a:xfrm>
                      <a:prstGeom prst="rect">
                        <a:avLst/>
                      </a:prstGeom>
                      <a:noFill/>
                      <a:ln w="9525">
                        <a:noFill/>
                        <a:miter lim="800000"/>
                        <a:headEnd/>
                        <a:tailEnd/>
                      </a:ln>
                    </wps:spPr>
                    <wps:txbx>
                      <w:txbxContent>
                        <w:p w:rsidR="00DF4813" w:rsidP="00DF4813" w:rsidRDefault="00DF4813" w14:paraId="065A4220" w14:textId="77777777">
                          <w:pPr>
                            <w:rPr>
                              <w:rFonts w:ascii="Arial" w:hAnsi="Arial" w:cs="Arial"/>
                              <w:color w:val="000000" w:themeColor="text1"/>
                              <w:sz w:val="20"/>
                              <w:szCs w:val="20"/>
                            </w:rPr>
                          </w:pPr>
                          <w:r>
                            <w:rPr>
                              <w:rFonts w:ascii="Arial" w:hAnsi="Arial" w:cs="Arial"/>
                              <w:color w:val="000000" w:themeColor="text1"/>
                              <w:sz w:val="20"/>
                              <w:szCs w:val="20"/>
                            </w:rPr>
                            <w:t>ATTACHMENT NO. 10</w:t>
                          </w:r>
                        </w:p>
                        <w:p w:rsidRPr="008202CA" w:rsidR="008202CA" w:rsidP="00DF4813" w:rsidRDefault="00DF4813" w14:paraId="65A97BC6" w14:textId="53A051C8">
                          <w:pPr>
                            <w:rPr>
                              <w:sz w:val="20"/>
                              <w:szCs w:val="20"/>
                            </w:rPr>
                          </w:pPr>
                          <w:r>
                            <w:rPr>
                              <w:rFonts w:ascii="Arial" w:hAnsi="Arial" w:cs="Arial"/>
                              <w:color w:val="000000" w:themeColor="text1"/>
                              <w:sz w:val="20"/>
                              <w:szCs w:val="20"/>
                            </w:rPr>
                            <w:t xml:space="preserve">Page </w:t>
                          </w:r>
                          <w:r w:rsidRPr="00DF4813">
                            <w:rPr>
                              <w:rFonts w:ascii="Arial" w:hAnsi="Arial" w:cs="Arial"/>
                              <w:color w:val="000000" w:themeColor="text1"/>
                              <w:sz w:val="20"/>
                              <w:szCs w:val="20"/>
                            </w:rPr>
                            <w:fldChar w:fldCharType="begin"/>
                          </w:r>
                          <w:r w:rsidRPr="00DF4813">
                            <w:rPr>
                              <w:rFonts w:ascii="Arial" w:hAnsi="Arial" w:cs="Arial"/>
                              <w:color w:val="000000" w:themeColor="text1"/>
                              <w:sz w:val="20"/>
                              <w:szCs w:val="20"/>
                            </w:rPr>
                            <w:instrText xml:space="preserve"> PAGE   \* MERGEFORMAT </w:instrText>
                          </w:r>
                          <w:r w:rsidRPr="00DF4813">
                            <w:rPr>
                              <w:rFonts w:ascii="Arial" w:hAnsi="Arial" w:cs="Arial"/>
                              <w:color w:val="000000" w:themeColor="text1"/>
                              <w:sz w:val="20"/>
                              <w:szCs w:val="20"/>
                            </w:rPr>
                            <w:fldChar w:fldCharType="separate"/>
                          </w:r>
                          <w:r w:rsidRPr="00DF4813">
                            <w:rPr>
                              <w:rFonts w:ascii="Arial" w:hAnsi="Arial" w:cs="Arial"/>
                              <w:noProof/>
                              <w:color w:val="000000" w:themeColor="text1"/>
                              <w:sz w:val="20"/>
                              <w:szCs w:val="20"/>
                            </w:rPr>
                            <w:t>1</w:t>
                          </w:r>
                          <w:r w:rsidRPr="00DF4813">
                            <w:rPr>
                              <w:rFonts w:ascii="Arial" w:hAnsi="Arial" w:cs="Arial"/>
                              <w:noProof/>
                              <w:color w:val="000000" w:themeColor="text1"/>
                              <w:sz w:val="20"/>
                              <w:szCs w:val="20"/>
                            </w:rPr>
                            <w:fldChar w:fldCharType="end"/>
                          </w:r>
                          <w:r>
                            <w:rPr>
                              <w:rFonts w:ascii="Arial" w:hAnsi="Arial" w:cs="Arial"/>
                              <w:noProof/>
                              <w:color w:val="000000" w:themeColor="text1"/>
                              <w:sz w:val="20"/>
                              <w:szCs w:val="20"/>
                            </w:rPr>
                            <w:t xml:space="preserve"> of </w:t>
                          </w:r>
                          <w:r>
                            <w:rPr>
                              <w:rFonts w:ascii="Arial" w:hAnsi="Arial" w:cs="Arial"/>
                              <w:noProof/>
                              <w:color w:val="000000" w:themeColor="text1"/>
                              <w:sz w:val="20"/>
                              <w:szCs w:val="20"/>
                            </w:rPr>
                            <w:fldChar w:fldCharType="begin"/>
                          </w:r>
                          <w:r>
                            <w:rPr>
                              <w:rFonts w:ascii="Arial" w:hAnsi="Arial" w:cs="Arial"/>
                              <w:noProof/>
                              <w:color w:val="000000" w:themeColor="text1"/>
                              <w:sz w:val="20"/>
                              <w:szCs w:val="20"/>
                            </w:rPr>
                            <w:instrText xml:space="preserve"> NUMPAGES  \* Arabic  \* MERGEFORMAT </w:instrText>
                          </w:r>
                          <w:r>
                            <w:rPr>
                              <w:rFonts w:ascii="Arial" w:hAnsi="Arial" w:cs="Arial"/>
                              <w:noProof/>
                              <w:color w:val="000000" w:themeColor="text1"/>
                              <w:sz w:val="20"/>
                              <w:szCs w:val="20"/>
                            </w:rPr>
                            <w:fldChar w:fldCharType="separate"/>
                          </w:r>
                          <w:r>
                            <w:rPr>
                              <w:rFonts w:ascii="Arial" w:hAnsi="Arial" w:cs="Arial"/>
                              <w:noProof/>
                              <w:color w:val="000000" w:themeColor="text1"/>
                              <w:sz w:val="20"/>
                              <w:szCs w:val="20"/>
                            </w:rPr>
                            <w:t>6</w:t>
                          </w:r>
                          <w:r>
                            <w:rPr>
                              <w:rFonts w:ascii="Arial" w:hAnsi="Arial" w:cs="Arial"/>
                              <w:noProof/>
                              <w:color w:val="000000" w:themeColor="text1"/>
                              <w:sz w:val="20"/>
                              <w:szCs w:val="20"/>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w14:anchorId="05851E54">
              <v:stroke joinstyle="miter"/>
              <v:path gradientshapeok="t" o:connecttype="rect"/>
            </v:shapetype>
            <v:shape id="Text Box 2" style="position:absolute;margin-left:0;margin-top:-17.1pt;width:120.2pt;height:30.5pt;z-index:251665408;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alt=""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">
              <v:textbox>
                <w:txbxContent>
                  <w:p w:rsidR="00DF4813" w:rsidP="00DF4813" w:rsidRDefault="00DF4813" w14:paraId="065A4220" w14:textId="77777777">
                    <w:pPr>
                      <w:rPr>
                        <w:rFonts w:ascii="Arial" w:hAnsi="Arial" w:cs="Arial"/>
                        <w:color w:val="000000" w:themeColor="text1"/>
                        <w:sz w:val="20"/>
                        <w:szCs w:val="20"/>
                      </w:rPr>
                    </w:pPr>
                    <w:r>
                      <w:rPr>
                        <w:rFonts w:ascii="Arial" w:hAnsi="Arial" w:cs="Arial"/>
                        <w:color w:val="000000" w:themeColor="text1"/>
                        <w:sz w:val="20"/>
                        <w:szCs w:val="20"/>
                      </w:rPr>
                      <w:t>ATTACHMENT NO. 10</w:t>
                    </w:r>
                  </w:p>
                  <w:p w:rsidRPr="008202CA" w:rsidR="008202CA" w:rsidP="00DF4813" w:rsidRDefault="00DF4813" w14:paraId="65A97BC6" w14:textId="53A051C8">
                    <w:pPr>
                      <w:rPr>
                        <w:sz w:val="20"/>
                        <w:szCs w:val="20"/>
                      </w:rPr>
                    </w:pPr>
                    <w:r>
                      <w:rPr>
                        <w:rFonts w:ascii="Arial" w:hAnsi="Arial" w:cs="Arial"/>
                        <w:color w:val="000000" w:themeColor="text1"/>
                        <w:sz w:val="20"/>
                        <w:szCs w:val="20"/>
                      </w:rPr>
                      <w:t xml:space="preserve">Page </w:t>
                    </w:r>
                    <w:r w:rsidRPr="00DF4813">
                      <w:rPr>
                        <w:rFonts w:ascii="Arial" w:hAnsi="Arial" w:cs="Arial"/>
                        <w:color w:val="000000" w:themeColor="text1"/>
                        <w:sz w:val="20"/>
                        <w:szCs w:val="20"/>
                      </w:rPr>
                      <w:fldChar w:fldCharType="begin"/>
                    </w:r>
                    <w:r w:rsidRPr="00DF4813">
                      <w:rPr>
                        <w:rFonts w:ascii="Arial" w:hAnsi="Arial" w:cs="Arial"/>
                        <w:color w:val="000000" w:themeColor="text1"/>
                        <w:sz w:val="20"/>
                        <w:szCs w:val="20"/>
                      </w:rPr>
                      <w:instrText xml:space="preserve"> PAGE   \* MERGEFORMAT </w:instrText>
                    </w:r>
                    <w:r w:rsidRPr="00DF4813">
                      <w:rPr>
                        <w:rFonts w:ascii="Arial" w:hAnsi="Arial" w:cs="Arial"/>
                        <w:color w:val="000000" w:themeColor="text1"/>
                        <w:sz w:val="20"/>
                        <w:szCs w:val="20"/>
                      </w:rPr>
                      <w:fldChar w:fldCharType="separate"/>
                    </w:r>
                    <w:r w:rsidRPr="00DF4813">
                      <w:rPr>
                        <w:rFonts w:ascii="Arial" w:hAnsi="Arial" w:cs="Arial"/>
                        <w:noProof/>
                        <w:color w:val="000000" w:themeColor="text1"/>
                        <w:sz w:val="20"/>
                        <w:szCs w:val="20"/>
                      </w:rPr>
                      <w:t>1</w:t>
                    </w:r>
                    <w:r w:rsidRPr="00DF4813">
                      <w:rPr>
                        <w:rFonts w:ascii="Arial" w:hAnsi="Arial" w:cs="Arial"/>
                        <w:noProof/>
                        <w:color w:val="000000" w:themeColor="text1"/>
                        <w:sz w:val="20"/>
                        <w:szCs w:val="20"/>
                      </w:rPr>
                      <w:fldChar w:fldCharType="end"/>
                    </w:r>
                    <w:r>
                      <w:rPr>
                        <w:rFonts w:ascii="Arial" w:hAnsi="Arial" w:cs="Arial"/>
                        <w:noProof/>
                        <w:color w:val="000000" w:themeColor="text1"/>
                        <w:sz w:val="20"/>
                        <w:szCs w:val="20"/>
                      </w:rPr>
                      <w:t xml:space="preserve"> of </w:t>
                    </w:r>
                    <w:r>
                      <w:rPr>
                        <w:rFonts w:ascii="Arial" w:hAnsi="Arial" w:cs="Arial"/>
                        <w:noProof/>
                        <w:color w:val="000000" w:themeColor="text1"/>
                        <w:sz w:val="20"/>
                        <w:szCs w:val="20"/>
                      </w:rPr>
                      <w:fldChar w:fldCharType="begin"/>
                    </w:r>
                    <w:r>
                      <w:rPr>
                        <w:rFonts w:ascii="Arial" w:hAnsi="Arial" w:cs="Arial"/>
                        <w:noProof/>
                        <w:color w:val="000000" w:themeColor="text1"/>
                        <w:sz w:val="20"/>
                        <w:szCs w:val="20"/>
                      </w:rPr>
                      <w:instrText xml:space="preserve"> NUMPAGES  \* Arabic  \* MERGEFORMAT </w:instrText>
                    </w:r>
                    <w:r>
                      <w:rPr>
                        <w:rFonts w:ascii="Arial" w:hAnsi="Arial" w:cs="Arial"/>
                        <w:noProof/>
                        <w:color w:val="000000" w:themeColor="text1"/>
                        <w:sz w:val="20"/>
                        <w:szCs w:val="20"/>
                      </w:rPr>
                      <w:fldChar w:fldCharType="separate"/>
                    </w:r>
                    <w:r>
                      <w:rPr>
                        <w:rFonts w:ascii="Arial" w:hAnsi="Arial" w:cs="Arial"/>
                        <w:noProof/>
                        <w:color w:val="000000" w:themeColor="text1"/>
                        <w:sz w:val="20"/>
                        <w:szCs w:val="20"/>
                      </w:rPr>
                      <w:t>6</w:t>
                    </w:r>
                    <w:r>
                      <w:rPr>
                        <w:rFonts w:ascii="Arial" w:hAnsi="Arial" w:cs="Arial"/>
                        <w:noProof/>
                        <w:color w:val="000000" w:themeColor="text1"/>
                        <w:sz w:val="20"/>
                        <w:szCs w:val="20"/>
                      </w:rPr>
                      <w:fldChar w:fldCharType="end"/>
                    </w:r>
                  </w:p>
                </w:txbxContent>
              </v:textbox>
              <w10:wrap type="square" anchorx="margin"/>
            </v:shape>
          </w:pict>
        </mc:Fallback>
      </mc:AlternateContent>
    </w:r>
    <w:r w:rsidRPr="00724FB0" w:rsidR="00BD6D37">
      <w:rPr>
        <w:rFonts w:ascii="Arial" w:hAnsi="Arial" w:cs="Arial"/>
        <w:noProof/>
        <w:sz w:val="15"/>
        <w:szCs w:val="15"/>
      </w:rPr>
      <w:drawing>
        <wp:anchor distT="0" distB="0" distL="114300" distR="114300" simplePos="0" relativeHeight="251660288" behindDoc="1" locked="0" layoutInCell="1" allowOverlap="1" wp14:editId="037EFDEA" wp14:anchorId="52B473E3">
          <wp:simplePos x="0" y="0"/>
          <wp:positionH relativeFrom="page">
            <wp:posOffset>1701</wp:posOffset>
          </wp:positionH>
          <wp:positionV relativeFrom="page">
            <wp:posOffset>0</wp:posOffset>
          </wp:positionV>
          <wp:extent cx="7823862" cy="10058400"/>
          <wp:effectExtent l="0" t="0" r="0" b="0"/>
          <wp:wrapNone/>
          <wp:docPr id="2" name="Picture 2"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7823862" cy="1005840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a="http://schemas.openxmlformats.org/drawingml/2006/main" xmlns:pic="http://schemas.openxmlformats.org/drawingml/2006/picture" xmlns:a14="http://schemas.microsoft.com/office/drawing/2010/main"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724FB0" w:rsidR="00724FB0" w:rsidP="00724FB0" w:rsidRDefault="008C2941" w14:paraId="2F9CE29D" w14:textId="5D6C2C73">
    <w:pPr>
      <w:pStyle w:val="Header"/>
      <w:jc w:val="right"/>
      <w:rPr>
        <w:rFonts w:ascii="Arial" w:hAnsi="Arial" w:cs="Arial"/>
        <w:sz w:val="15"/>
        <w:szCs w:val="15"/>
      </w:rPr>
    </w:pPr>
    <w:r w:rsidRPr="008C2941">
      <w:rPr>
        <w:noProof/>
      </w:rPr>
      <w:drawing>
        <wp:anchor distT="0" distB="0" distL="114300" distR="114300" simplePos="0" relativeHeight="251661312" behindDoc="1" locked="0" layoutInCell="1" allowOverlap="1" wp14:editId="00BB5E1B" wp14:anchorId="46A6DD01">
          <wp:simplePos x="0" y="0"/>
          <wp:positionH relativeFrom="column">
            <wp:posOffset>0</wp:posOffset>
          </wp:positionH>
          <wp:positionV relativeFrom="paragraph">
            <wp:posOffset>-109855</wp:posOffset>
          </wp:positionV>
          <wp:extent cx="1179576" cy="576072"/>
          <wp:effectExtent l="0" t="0" r="1905" b="0"/>
          <wp:wrapNone/>
          <wp:docPr id="1" name="Picture 1"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79576" cy="576072"/>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724FB0" w:rsidR="00EE4C21">
      <w:rPr>
        <w:rFonts w:ascii="Arial" w:hAnsi="Arial" w:cs="Arial"/>
        <w:noProof/>
        <w:sz w:val="15"/>
        <w:szCs w:val="15"/>
      </w:rPr>
      <w:drawing>
        <wp:anchor distT="0" distB="0" distL="114300" distR="114300" simplePos="0" relativeHeight="251658240" behindDoc="1" locked="0" layoutInCell="1" allowOverlap="1" wp14:editId="111AFC75" wp14:anchorId="3F228EB8">
          <wp:simplePos x="0" y="0"/>
          <wp:positionH relativeFrom="page">
            <wp:align>left</wp:align>
          </wp:positionH>
          <wp:positionV relativeFrom="page">
            <wp:align>top</wp:align>
          </wp:positionV>
          <wp:extent cx="7823200" cy="10057765"/>
          <wp:effectExtent l="0" t="0" r="0" b="635"/>
          <wp:wrapNone/>
          <wp:docPr id="4" name="Picture 4"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pic:cNvPicPr/>
                </pic:nvPicPr>
                <pic:blipFill>
                  <a:blip r:embed="rId2">
                    <a:extLst>
                      <a:ext uri="{28A0092B-C50C-407E-A947-70E740481C1C}">
                        <a14:useLocalDpi xmlns:a14="http://schemas.microsoft.com/office/drawing/2010/main" val="0"/>
                      </a:ext>
                    </a:extLst>
                  </a:blip>
                  <a:stretch>
                    <a:fillRect/>
                  </a:stretch>
                </pic:blipFill>
                <pic:spPr>
                  <a:xfrm>
                    <a:off x="0" y="0"/>
                    <a:ext cx="7823200" cy="10057765"/>
                  </a:xfrm>
                  <a:prstGeom prst="rect">
                    <a:avLst/>
                  </a:prstGeom>
                </pic:spPr>
              </pic:pic>
            </a:graphicData>
          </a:graphic>
          <wp14:sizeRelH relativeFrom="margin">
            <wp14:pctWidth>0</wp14:pctWidth>
          </wp14:sizeRelH>
          <wp14:sizeRelV relativeFrom="margin">
            <wp14:pctHeight>0</wp14:pctHeight>
          </wp14:sizeRelV>
        </wp:anchor>
      </w:drawing>
    </w:r>
    <w:r w:rsidR="000E3DB6">
      <w:rPr>
        <w:rFonts w:ascii="Arial" w:hAnsi="Arial" w:cs="Arial"/>
        <w:sz w:val="15"/>
        <w:szCs w:val="15"/>
      </w:rPr>
      <w:t>Amy L. Zapletal, P.E.</w:t>
    </w:r>
    <w:r w:rsidRPr="00724FB0" w:rsidR="00724FB0">
      <w:rPr>
        <w:rFonts w:ascii="Arial" w:hAnsi="Arial" w:cs="Arial"/>
        <w:sz w:val="15"/>
        <w:szCs w:val="15"/>
      </w:rPr>
      <w:br/>
    </w:r>
    <w:r w:rsidR="000E3DB6">
      <w:rPr>
        <w:rFonts w:ascii="Arial" w:hAnsi="Arial" w:cs="Arial"/>
        <w:sz w:val="15"/>
        <w:szCs w:val="15"/>
      </w:rPr>
      <w:t>Project Manager Senior</w:t>
    </w:r>
    <w:r w:rsidRPr="00724FB0" w:rsidR="00724FB0">
      <w:rPr>
        <w:rFonts w:ascii="Arial" w:hAnsi="Arial" w:cs="Arial"/>
        <w:sz w:val="15"/>
        <w:szCs w:val="15"/>
      </w:rPr>
      <w:br/>
    </w:r>
    <w:r w:rsidR="000E3DB6">
      <w:rPr>
        <w:rFonts w:ascii="Arial" w:hAnsi="Arial" w:cs="Arial"/>
        <w:sz w:val="15"/>
        <w:szCs w:val="15"/>
      </w:rPr>
      <w:t>Transmission Engineering Right-of-Way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2F7F1C"/>
    <w:multiLevelType w:val="hybridMultilevel"/>
    <w:tmpl w:val="0C7E9F7A"/>
    <w:lvl w:ilvl="0" w:tplc="BB702B28">
      <w:start w:val="1"/>
      <w:numFmt w:val="bullet"/>
      <w:lvlText w:val=""/>
      <w:lvlJc w:val="left"/>
      <w:pPr>
        <w:tabs>
          <w:tab w:val="num" w:pos="1560"/>
        </w:tabs>
        <w:ind w:left="1560" w:hanging="360"/>
      </w:pPr>
      <w:rPr>
        <w:rFonts w:ascii="Symbol" w:hAnsi="Symbol" w:hint="default"/>
      </w:rPr>
    </w:lvl>
    <w:lvl w:ilvl="1" w:tplc="127C7BF2">
      <w:start w:val="1"/>
      <w:numFmt w:val="bullet"/>
      <w:lvlText w:val="o"/>
      <w:lvlJc w:val="left"/>
      <w:pPr>
        <w:tabs>
          <w:tab w:val="num" w:pos="2280"/>
        </w:tabs>
        <w:ind w:left="2280" w:hanging="360"/>
      </w:pPr>
      <w:rPr>
        <w:rFonts w:ascii="Courier New" w:hAnsi="Courier New" w:cs="Courier New" w:hint="default"/>
      </w:rPr>
    </w:lvl>
    <w:lvl w:ilvl="2" w:tplc="613A61F8" w:tentative="1">
      <w:start w:val="1"/>
      <w:numFmt w:val="bullet"/>
      <w:lvlText w:val=""/>
      <w:lvlJc w:val="left"/>
      <w:pPr>
        <w:tabs>
          <w:tab w:val="num" w:pos="3000"/>
        </w:tabs>
        <w:ind w:left="3000" w:hanging="360"/>
      </w:pPr>
      <w:rPr>
        <w:rFonts w:ascii="Wingdings" w:hAnsi="Wingdings" w:hint="default"/>
      </w:rPr>
    </w:lvl>
    <w:lvl w:ilvl="3" w:tplc="EE9C8BFE" w:tentative="1">
      <w:start w:val="1"/>
      <w:numFmt w:val="bullet"/>
      <w:lvlText w:val=""/>
      <w:lvlJc w:val="left"/>
      <w:pPr>
        <w:tabs>
          <w:tab w:val="num" w:pos="3720"/>
        </w:tabs>
        <w:ind w:left="3720" w:hanging="360"/>
      </w:pPr>
      <w:rPr>
        <w:rFonts w:ascii="Symbol" w:hAnsi="Symbol" w:hint="default"/>
      </w:rPr>
    </w:lvl>
    <w:lvl w:ilvl="4" w:tplc="277AD380" w:tentative="1">
      <w:start w:val="1"/>
      <w:numFmt w:val="bullet"/>
      <w:lvlText w:val="o"/>
      <w:lvlJc w:val="left"/>
      <w:pPr>
        <w:tabs>
          <w:tab w:val="num" w:pos="4440"/>
        </w:tabs>
        <w:ind w:left="4440" w:hanging="360"/>
      </w:pPr>
      <w:rPr>
        <w:rFonts w:ascii="Courier New" w:hAnsi="Courier New" w:cs="Courier New" w:hint="default"/>
      </w:rPr>
    </w:lvl>
    <w:lvl w:ilvl="5" w:tplc="5F745F94" w:tentative="1">
      <w:start w:val="1"/>
      <w:numFmt w:val="bullet"/>
      <w:lvlText w:val=""/>
      <w:lvlJc w:val="left"/>
      <w:pPr>
        <w:tabs>
          <w:tab w:val="num" w:pos="5160"/>
        </w:tabs>
        <w:ind w:left="5160" w:hanging="360"/>
      </w:pPr>
      <w:rPr>
        <w:rFonts w:ascii="Wingdings" w:hAnsi="Wingdings" w:hint="default"/>
      </w:rPr>
    </w:lvl>
    <w:lvl w:ilvl="6" w:tplc="0AC21C66" w:tentative="1">
      <w:start w:val="1"/>
      <w:numFmt w:val="bullet"/>
      <w:lvlText w:val=""/>
      <w:lvlJc w:val="left"/>
      <w:pPr>
        <w:tabs>
          <w:tab w:val="num" w:pos="5880"/>
        </w:tabs>
        <w:ind w:left="5880" w:hanging="360"/>
      </w:pPr>
      <w:rPr>
        <w:rFonts w:ascii="Symbol" w:hAnsi="Symbol" w:hint="default"/>
      </w:rPr>
    </w:lvl>
    <w:lvl w:ilvl="7" w:tplc="D304BD0E" w:tentative="1">
      <w:start w:val="1"/>
      <w:numFmt w:val="bullet"/>
      <w:lvlText w:val="o"/>
      <w:lvlJc w:val="left"/>
      <w:pPr>
        <w:tabs>
          <w:tab w:val="num" w:pos="6600"/>
        </w:tabs>
        <w:ind w:left="6600" w:hanging="360"/>
      </w:pPr>
      <w:rPr>
        <w:rFonts w:ascii="Courier New" w:hAnsi="Courier New" w:cs="Courier New" w:hint="default"/>
      </w:rPr>
    </w:lvl>
    <w:lvl w:ilvl="8" w:tplc="44CE1FD2" w:tentative="1">
      <w:start w:val="1"/>
      <w:numFmt w:val="bullet"/>
      <w:lvlText w:val=""/>
      <w:lvlJc w:val="left"/>
      <w:pPr>
        <w:tabs>
          <w:tab w:val="num" w:pos="7320"/>
        </w:tabs>
        <w:ind w:left="7320" w:hanging="360"/>
      </w:pPr>
      <w:rPr>
        <w:rFonts w:ascii="Wingdings" w:hAnsi="Wingdings" w:hint="default"/>
      </w:rPr>
    </w:lvl>
  </w:abstractNum>
  <w:num w:numId="1" w16cid:durableId="1708136438">
    <w:abstractNumId w:val="0"/>
  </w:num>
  <w:num w:numId="2" w16cid:durableId="3285559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5219"/>
    <w:rsid w:val="00010076"/>
    <w:rsid w:val="00050C2F"/>
    <w:rsid w:val="000E3DB6"/>
    <w:rsid w:val="00102E0A"/>
    <w:rsid w:val="00127232"/>
    <w:rsid w:val="00181292"/>
    <w:rsid w:val="001C07E5"/>
    <w:rsid w:val="00256A13"/>
    <w:rsid w:val="0029665E"/>
    <w:rsid w:val="002E620E"/>
    <w:rsid w:val="00346D0A"/>
    <w:rsid w:val="00376C61"/>
    <w:rsid w:val="00452926"/>
    <w:rsid w:val="00465A5F"/>
    <w:rsid w:val="00483F8C"/>
    <w:rsid w:val="004A195F"/>
    <w:rsid w:val="004B36BA"/>
    <w:rsid w:val="004C169D"/>
    <w:rsid w:val="004F5219"/>
    <w:rsid w:val="0058120E"/>
    <w:rsid w:val="005D27B0"/>
    <w:rsid w:val="006167E1"/>
    <w:rsid w:val="00704C71"/>
    <w:rsid w:val="00724FB0"/>
    <w:rsid w:val="0072605D"/>
    <w:rsid w:val="0075498E"/>
    <w:rsid w:val="007550C1"/>
    <w:rsid w:val="0078085B"/>
    <w:rsid w:val="007B3FFF"/>
    <w:rsid w:val="007D5173"/>
    <w:rsid w:val="008202CA"/>
    <w:rsid w:val="0082083A"/>
    <w:rsid w:val="008A7D58"/>
    <w:rsid w:val="008C2941"/>
    <w:rsid w:val="008D03B5"/>
    <w:rsid w:val="00910814"/>
    <w:rsid w:val="009417F6"/>
    <w:rsid w:val="009C0C95"/>
    <w:rsid w:val="00A27F5A"/>
    <w:rsid w:val="00A715DF"/>
    <w:rsid w:val="00AF7A7C"/>
    <w:rsid w:val="00B05195"/>
    <w:rsid w:val="00BD6D37"/>
    <w:rsid w:val="00C60C55"/>
    <w:rsid w:val="00C97D61"/>
    <w:rsid w:val="00D73A68"/>
    <w:rsid w:val="00D91C19"/>
    <w:rsid w:val="00D94F37"/>
    <w:rsid w:val="00DC1BD4"/>
    <w:rsid w:val="00DF4813"/>
    <w:rsid w:val="00E47FBA"/>
    <w:rsid w:val="00EC7D78"/>
    <w:rsid w:val="00EE4C21"/>
    <w:rsid w:val="00F1115C"/>
    <w:rsid w:val="00F220B9"/>
    <w:rsid w:val="00F737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6B130495"/>
  <w14:defaultImageDpi w14:val="32767"/>
  <w15:chartTrackingRefBased/>
  <w15:docId w15:val="{DBBF27D8-CBEF-DC4F-BB52-F9D6485F9D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724FB0"/>
    <w:pPr>
      <w:tabs>
        <w:tab w:val="center" w:pos="4680"/>
        <w:tab w:val="right" w:pos="9360"/>
      </w:tabs>
    </w:pPr>
  </w:style>
  <w:style w:type="character" w:styleId="HeaderChar" w:customStyle="1">
    <w:name w:val="Header Char"/>
    <w:basedOn w:val="DefaultParagraphFont"/>
    <w:link w:val="Header"/>
    <w:uiPriority w:val="99"/>
    <w:rsid w:val="00724FB0"/>
  </w:style>
  <w:style w:type="paragraph" w:styleId="Footer">
    <w:name w:val="footer"/>
    <w:basedOn w:val="Normal"/>
    <w:link w:val="FooterChar"/>
    <w:uiPriority w:val="99"/>
    <w:unhideWhenUsed/>
    <w:rsid w:val="00724FB0"/>
    <w:pPr>
      <w:tabs>
        <w:tab w:val="center" w:pos="4680"/>
        <w:tab w:val="right" w:pos="9360"/>
      </w:tabs>
    </w:pPr>
  </w:style>
  <w:style w:type="character" w:styleId="FooterChar" w:customStyle="1">
    <w:name w:val="Footer Char"/>
    <w:basedOn w:val="DefaultParagraphFont"/>
    <w:link w:val="Footer"/>
    <w:uiPriority w:val="99"/>
    <w:rsid w:val="00724FB0"/>
  </w:style>
  <w:style w:type="paragraph" w:styleId="yiv0126086969msonormal" w:customStyle="1">
    <w:name w:val="yiv0126086969msonormal"/>
    <w:basedOn w:val="Normal"/>
    <w:rsid w:val="00B05195"/>
    <w:pPr>
      <w:spacing w:before="100" w:beforeAutospacing="1" w:after="100" w:afterAutospacing="1"/>
    </w:pPr>
    <w:rPr>
      <w:rFonts w:ascii="Times New Roman" w:hAnsi="Times New Roman" w:eastAsia="Times New Roman" w:cs="Times New Roman"/>
    </w:rPr>
  </w:style>
  <w:style w:type="paragraph" w:styleId="yiv0126086969basicparagraph" w:customStyle="1">
    <w:name w:val="yiv0126086969basicparagraph"/>
    <w:basedOn w:val="Normal"/>
    <w:rsid w:val="00B05195"/>
    <w:pPr>
      <w:spacing w:before="100" w:beforeAutospacing="1" w:after="100" w:afterAutospacing="1"/>
    </w:pPr>
    <w:rPr>
      <w:rFonts w:ascii="Times New Roman" w:hAnsi="Times New Roman" w:eastAsia="Times New Roman" w:cs="Times New Roman"/>
    </w:rPr>
  </w:style>
  <w:style w:type="paragraph" w:styleId="CommentText">
    <w:name w:val="annotation text"/>
    <w:basedOn w:val="Normal"/>
    <w:link w:val="CommentTextChar"/>
    <w:rsid w:val="006167E1"/>
    <w:rPr>
      <w:rFonts w:ascii="Times" w:hAnsi="Times" w:eastAsia="Times" w:cs="Times New Roman"/>
      <w:sz w:val="20"/>
      <w:szCs w:val="20"/>
    </w:rPr>
  </w:style>
  <w:style w:type="character" w:styleId="CommentTextChar" w:customStyle="1">
    <w:name w:val="Comment Text Char"/>
    <w:basedOn w:val="DefaultParagraphFont"/>
    <w:link w:val="CommentText"/>
    <w:rsid w:val="006167E1"/>
    <w:rPr>
      <w:rFonts w:ascii="Times" w:hAnsi="Times" w:eastAsia="Times" w:cs="Times New Roman"/>
      <w:sz w:val="20"/>
      <w:szCs w:val="20"/>
    </w:rPr>
  </w:style>
  <w:style w:type="paragraph" w:styleId="Revision">
    <w:name w:val="Revision"/>
    <w:hidden/>
    <w:uiPriority w:val="99"/>
    <w:semiHidden/>
    <w:rsid w:val="00181292"/>
  </w:style>
  <w:style w:type="character" w:styleId="DocID" w:customStyle="1">
    <w:name w:val="DocID"/>
    <w:basedOn w:val="DefaultParagraphFont"/>
    <w:uiPriority w:val="99"/>
    <w:semiHidden/>
    <w:rsid w:val="0075498E"/>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8705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footer" Target="footer3.xml" Id="rId13"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header" Target="header3.xml" Id="rId12" /><Relationship Type="http://schemas.openxmlformats.org/officeDocument/2006/relationships/numbering" Target="numbering.xml" Id="rId2" /><Relationship Type="http://schemas.openxmlformats.org/officeDocument/2006/relationships/footnotes" Target="footnotes.xml" Id="rId6" /><Relationship Type="http://schemas.openxmlformats.org/officeDocument/2006/relationships/footer" Target="footer2.xml" Id="rId11" /><Relationship Type="http://schemas.openxmlformats.org/officeDocument/2006/relationships/webSettings" Target="webSettings.xml" Id="rId5" /><Relationship Type="http://schemas.openxmlformats.org/officeDocument/2006/relationships/theme" Target="theme/theme1.xml" Id="rId15" /><Relationship Type="http://schemas.openxmlformats.org/officeDocument/2006/relationships/footer" Target="footer1.xml" Id="rId10" /><Relationship Type="http://schemas.openxmlformats.org/officeDocument/2006/relationships/settings" Target="settings.xml" Id="rId4" /><Relationship Type="http://schemas.openxmlformats.org/officeDocument/2006/relationships/header" Target="header2.xml" Id="rId9" /><Relationship Type="http://schemas.openxmlformats.org/officeDocument/2006/relationships/fontTable" Target="fontTable.xml" Id="rId14" /></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2" Type="http://schemas.openxmlformats.org/officeDocument/2006/relationships/image" Target="media/image1.jpg"/><Relationship Id="rId1"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vt="http://schemas.openxmlformats.org/officeDocument/2006/docPropsVTypes" xmlns:ap="http://schemas.openxmlformats.org/officeDocument/2006/extended-properties"/>
</file>

<file path=docProps/core.xml><?xml version="1.0" encoding="utf-8"?>
<coreProperties xmlns:dc="http://purl.org/dc/elements/1.1/" xmlns:dcterms="http://purl.org/dc/terms/" xmlns:xsi="http://www.w3.org/2001/XMLSchema-instance" xmlns="http://schemas.openxmlformats.org/package/2006/metadata/core-properties">
  <lastPrinted>1900-01-01T06:00:00.0000000Z</lastPrinted>
  <dcterms:created xsi:type="dcterms:W3CDTF">1900-01-01T06:00:00.0000000Z</dcterms:created>
  <dcterms:modified xsi:type="dcterms:W3CDTF">1900-01-01T06:00:00.0000000Z</dcterms:modified>
</coreProperties>
</file>

<file path=docProps/custom.xml><?xml version="1.0" encoding="utf-8"?>
<op:Properties xmlns:vt="http://schemas.openxmlformats.org/officeDocument/2006/docPropsVTypes" xmlns:op="http://schemas.openxmlformats.org/officeDocument/2006/custom-properties"/>
</file>